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C-2494/2012 vom 2. April 2013</w:t>
      </w:r>
    </w:p>
    <w:p>
      <w:r>
        <w:t>Bundesverwaltungsgericht, 2013-04-02, IT</w:t>
      </w:r>
    </w:p>
    <w:p>
      <w:r>
        <w:rPr>
          <w:b/>
        </w:rPr>
        <w:t xml:space="preserve">Quelle: </w:t>
      </w:r>
      <w:r>
        <w:t>https://mcp.opencaselaw.ch/entscheid/bvger_C-2494_2012</w:t>
      </w:r>
    </w:p>
    <w:p>
      <w:r>
        <w:t>FR: TAF C-2494/2012 du 2 avril 2013</w:t>
      </w:r>
    </w:p>
    <w:p>
      <w:r>
        <w:t>IT: TAF C-2494/2012 del 2 aprile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 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 2.Ai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DTAF 2011/43 consid. 6.1). 3.Poiché nel suo gravame A._______ ha chiesto l'assunzione di diversi mezzi di prova, e meglio: la sua audizione, il richiamo dell'incarto relativo all'ultimo procedimento penale in cui è stato coinvolto, l'audizione di tre testimoni e l'allestimento di una perizia giudiziaria, occorre dapprima esaminare tali censure di natura formale. L'interessato ha inoltre segnalato di non volere rinunciare a nessuno dei suoi diritti garantiti dalla CEDU (udienza pubblica, contraddittorio, etc), se non previo suo consenso espresso scritto. 3.1. Per quanto attiene l'audizione personale e di testimoni davanti allo scrivente Tribunale, occorre rammentare che la procedura dinanzi al TAF avviene di regola per iscritto (cfr. Fritz Gygi, Bundesverwaltungsrechtspflege, Berna, 1983, pag. 65 e 70). Infatti, la procedura amministrativa prevede un'audizione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In casu, il TAF ritiene che gli elementi pertinenti della causa sono stati accertati in modo appropriato e non necessitano quindi di alcun complemento di istruttoria (cfr. DTF 136 I 229 consid. 5.3; 130 II 169 consid. 2.3.2 e 2.3.3 e riferimenti ivi citati).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(cfr. sentenza del Tribunale amministrativo federale C-7793/2010 del 15 luglio 2011 consid. 8 e giurisprudenza citata; DTF 131 I 153 consid. 3; 130 III 734 consid. 2.2.3; 130 II 425 consid. 2.1).In merito ai diritti garantiti dalla CEDU di cui si prevale in generale A._______, giova rilevare come nel quadro della procedura amministrativa non vige il diritto di esprimersi oralmente di fronte all'autorità giudicante prima che questa adotti la propria decisione (cfr. DTF 130 II 425 consid. 2.1; 125 I 209 consid. 9b e riferimenti ivi citati); in particolare il ricorrente non può fondarsi sull'art. 6 CEDU per dedurre il proprio diritto ad essere sentito oralmente poiché questa disposizione non si applica a vertenze in materia di entrata/uscita e soggiorno di stranieri (cfr. decisioni del Tribunale federale 2C_244/2001 del 3 febbraio 2012 consid. 3; 2D_30/2011 del 22 giugno 2011 consid. 3.1 e 2C_717/2009 del 15 aprile 2010 consid. 1.3. e giurisprudenza ivi citata). Non è quindi dato seguito alle domande di audizione personale e di testimoni formulate dall'interessato. 3.2. Per quanto concerne le richieste formulate dal ricorrente tendenti al richiamo dell'incarto relativo all'ultimo procedimento penale a cui è stato sottoposto e all'allestimento di una perizia giudiziaria, oltre a quando testé esposto, giova rilevare che, in virtù del principio della separazione dei poteri 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delle migliore prognosi di risocializzazione, dall'altro l'autorità amministrativa si prefigge di proteggere la sicurezza e l'ordine pubblico (DTF 129 II 215 consid. 3.2 e giurisprudenza ivi citata). Alla luce di quanto esposto, anche le suddette richieste di assunzione di prove non possono essere prese in considerazione. 4.4.1. Il divieto d'entrata in Svizzera è disciplinato dall'art.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 4.2. 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 4.3. 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 4.4. L'OASA,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2009, art. 67 LStr, cifra 2). 5.In concreto il ricorrente è di nazionalità italiana, di conseguenza nella valutazione della presente causa è necessario tenere conto delle disposizioni dell'ALC. La LStr è dunque applicabile alla presente fattispecie solo nella misura in cui l'Accordo non contiene disposizioni derogatorie o se la presente legge prevede disposizioni più favorevoli (cfr. art. 2 cpv. 2 LStr). 5.1. 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par. 2 allegato I ALC in relazione con l'art. 16 par. 2 ALC; DTF 136 II 5 consid. 4.1., DTF 131 II 352 consid. 3.1., DTF 130 II 1 consid. 3.6.1.). 5.2. 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 5.3. In particolare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pag. 222, DTF 125 II 521 consid. 4a/aa pag. 526 seg.).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 b, ch. 1).</w:t>
      </w:r>
    </w:p>
    <w:p>
      <w:r>
        <w:rPr>
          <w:b/>
        </w:rPr>
        <w:t>E. 6.1</w:t>
      </w:r>
    </w:p>
    <w:p>
      <w:r>
        <w:t>I provvedimenti di ordine pubblico o di pubblica sicurezza devono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6.2</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Dagli atti di causa emerge che A._______ ha riseduto in Svizzera dall'età di 4 anni, ossia dal 1968. Durante tale soggiorno dal 1991 egli è stato condannato a 19 riprese, segnatamente per ripetute infrazioni e contravvenzioni alla LStup e alla LCStr, oltre che per reati contro il patrimonio (furto), contro l'onore (ingiuria) e contro la libertà personale (minaccia). Complessivamente l'interessato è stato condannato a delle pene pari a 33 mesi e mezzo di detenzione (sia in espiazione sia sospesi condizionalmente), nonché al pagamento di fr. 10'050.-- di multa (cfr. incarto dell'UFM). In data 13 ottobre 1992, il ricorrente è stato inoltre condannato dal Tribunale di Como per violazione delle norme sulla disciplina degli stupefacenti e sostanze psicotrope, alla pena di 4 mesi di reclusione sospesa condizionalmente e alla multa di Lire 1'400'000.- (pari a Euro 723.04). In sostanza, dall'età di 27 anni, A._______ ha tenuto un comportamento delittuoso, interessando regolarmente le autorità di polizia e giudiziarie durante un arco temporale di circa 18 anni.</w:t>
      </w:r>
    </w:p>
    <w:p>
      <w:r>
        <w:rPr>
          <w:b/>
        </w:rPr>
        <w:t>E. 7.2</w:t>
      </w:r>
    </w:p>
    <w:p>
      <w:r>
        <w:t>Nella sentenza della Corte delle assise correzionali di Lugano del 15 ottobre 2009, su cui l'UFM ha in particolare fondato il proprio provvedimento, i giudici penali hanno ritenuto che A._______ ha "venduto ca. 50/60 grammi di eroina (grado di purezza sconosciuta); acquistato e trasportato 12 grammi di eroina (grado di purezza del 28%), offerto ca. 22 grammi di eroina (grado di purezza sconosciuto), come pure "consumato 150/170 grammi di eroina, nonché almeno un'ulteriore trentina di buste dose della stessa sostanza, nonché acquistato e detenuto 50 grammi di eroina (grado di purezza del 28%) ed ulteriori 10 grammi dello stesso stupefacente (cfr. sentenza penale, pag. 7). Pur riconoscendo al ricorrente di avere agito in stato di scemata responsabilità, la Corte ha formulato una prognosi negativa, ragione per cui la pena non è stata posta al beneficio della sospensione condizionale (cfr. sentenza penale, pag. 8).</w:t>
      </w:r>
    </w:p>
    <w:p>
      <w:r>
        <w:rPr>
          <w:b/>
        </w:rPr>
        <w:t>E. 7.3</w:t>
      </w:r>
    </w:p>
    <w:p>
      <w:r>
        <w:t>A fronte di quanto sopra, il Tribunale sottolinea che i fatti perpetrati da A._______ sono oggettivamente gravi - anche nell'ottica dell'ALC - tenuto conto in particolare dei beni giuridici toccati con la violazione della LStup, segnatamente la salute pubblica e l'integrità fisica. 8. 8.1. A questo stadio della procedura occorre inoltre esaminare se il comportamento tenuto dall'interessato costituisca una minaccia a tutt'oggi attuale. Nel suo atto ricorsuale A._______ ha evidenziato la prognosi positiva emessa nei suoi confronti dalle autorità ticinesi di esecuzione della pena, sottolineando poi come a far data dalla sua liberazione condizionale nel settembre 2010, egli abbia seguito un percorso di totale disintossicazione, di reinserimento sociale e lavorativo, precisando di non avere più commesso alcun reato. Tali argomenti non permettono comunque di concludere che il rischio di recidiva sia diminuito in modo determinante. Dall'istruttoria è infatti emerso che il ricorrente è pesantemente recidivo e che nonostante le diverse condanne privative di libertà subite e gli otto ammonimenti della SPI e della SP, con cui lo si minacciava in caso di recidiva dell'espulsione, segnatamente in data 25 agosto 1992, 6 maggio 1993, 9 dicembre 1996, 22 maggio 2000, 16 maggio 2001, 20 giugno 2003, 12 aprile 2005 e 29 novembre 2006, egli ha mantenuto durante circa ben 18 anni un atteggiamento pericoloso per la collettività. Il ricorrente non ha appreso nulla dai procedimenti penali, dalle condanne e dalle carcerazioni, tanto da dover constatare un certo carattere di irriducibilità. Pertanto non è nemmeno possibile emettere una prognosi positiva nei suoi confronti tale da indicare che il rischio di comportamenti delittuosi futuri sembri fugato o perlomeno ridotto. Di transenna va infine rilevato che, con decisione del 15 settembre 2010, il Giudice dell'applicazione della pena del Cantone Ticino ha si rilevato in merito all'interessato che "il suo comportamento durante l'esecuzione della pena è stato corretto ed ha dimostrato affidabilità sia sul lavoro che durante i congedi, anche quando si è trovato nelle fase dell'espiazione della pena più responsabilizzante del lavoro e dell'alloggio esterno", evidenziando però che "è dunque da escludere che egli possa essere liberato condizionalmente senza la matematica sicurezza di un allontanamento dalla Svizzera. In effetti la sua permanenza in Svizzera lo metterebbe comunque in una situazione altamente precaria ed esposto ad ulteriori ingenti rischi di recidiva, proprio per l'impossibilità di un suo reinserimento" ..... "si ritiene che le condizioni attuali per concedere a A._______ la liberazione ai 2/3 sono date se è possibile un regolare espatrio dalla Svizzera" (cfr. sentenza del giudice dell'applicazione della pena, pag. 3). 8.2. In conclusione, in ragione della natura delle infrazioni commesse dal ricorrente, della durata delle pene detentive (in totale quasi tre anni), della reiterazione delle stesse su un arco temporale molto lungo (18 anni), il Tribunale considera che A._______ rappresenta ancora una minaccia effettiva, attuale e sufficientemente grave per la società tale da legittimare l'emanazione di un divieto d'entrata della durata di tre anni quale provvedimento per ragione di ordine e sicurezza pubblici ai sensi dell'art. 5 par. 1 Allegato I ALC. Inoltre non è contestato che il ricorrente, alla luce delle ripetute infrazioni commesse, possa essere l'oggetto di un divieto d'entrata ai sensi dell'art. 67 LStr. Il diritto interno non gli è dunque più favorevole dell'Accordo.</w:t>
      </w:r>
    </w:p>
    <w:p>
      <w:r>
        <w:rPr>
          <w:b/>
        </w:rPr>
        <w:t>E. 9.1</w:t>
      </w:r>
    </w:p>
    <w:p>
      <w:r>
        <w:t>Essendo la decisione di divieto d'entrata confermata nel suo principio, resta ora da stabilire se la durata della misura di allontanamento adottata dall'UFM, prevista per un periodo di 3 anni, rispetta il principio della proporzionalità.</w:t>
      </w:r>
    </w:p>
    <w:p>
      <w:r>
        <w:rPr>
          <w:b/>
        </w:rPr>
        <w:t>E. 9.2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15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9.3</w:t>
      </w:r>
    </w:p>
    <w:p>
      <w:r>
        <w:t>Per quanto attiene alla proporzionalità delle decisione impugnata, si rammenta che A._______ non ha smesso di delinquere per circa 18 anni, e questo malgrado gli sia stata concessa a più riprese la possibilità di rivedere il proprio comportamento. Le autorità cantonali hanno infatti emesso ben otto decisioni di ammonimento prima di pronunciare la revoca del permesso di domicilio del 18 febbraio 2010 e le pene inflittegli in sede penale sono state sovente sospese condizionalmente. Ciò nonostante il ricorrente non ha saputo cambiare in meglio il suo atteggiamento a lungo termine. Considerate le circostanze, l'emanazione di un provvedimento amministrativo delle durata di soli tre anni rispetta sufficientemente gli interessi privati del ricorrente ed è pertanto proporzionato.</w:t>
      </w:r>
    </w:p>
    <w:p>
      <w:r>
        <w:rPr>
          <w:b/>
        </w:rPr>
        <w:t>E. 10</w:t>
      </w:r>
    </w:p>
    <w:p>
      <w:r>
        <w:t>Nel suo ricorso A._______ ha inoltre invocato la violazione dell'art. 8 CEDU, sottolineando che la decisione impugnata limita eccessivamente i suoi contatti e legami affettivi, segnatamente con la figlia minorenne C._______, nonché con sua madre e suo fratello.</w:t>
      </w:r>
    </w:p>
    <w:p>
      <w:r>
        <w:rPr>
          <w:b/>
        </w:rPr>
        <w:t>E. 10.1</w:t>
      </w:r>
    </w:p>
    <w:p>
      <w:r>
        <w:t>La suddetta disposizione tutela la vita privata e familiare delle persone. Essa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Quanto all'art. 13 cpv. 1 della Costituzione federale del 18 aprile 1999 (Cost., RS 101), che garantisce il diritto alla vita privata e familiare, la protezione accordata corrisponde sostanzialmente a quella dell'art. 8 CEDU (cfr. DTF 137 I 167 consid. 7).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dalle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Secondo una costante giurisprudenza, la protezione consacrata dalla disposizione convenzionale si limita tuttavia alla famiglia in senso stretto, ovvero ai coniugi e ai figli minorenni, sempreché una relazione effettiva ed intatta esista (cfr. sentenza del Tribunale federale 2C_110/2009 del 7 aprile 2009 consid. 2.3 e giurisprudenza ivi citata).</w:t>
      </w:r>
    </w:p>
    <w:p>
      <w:r>
        <w:rPr>
          <w:b/>
        </w:rPr>
        <w:t>E. 10.2</w:t>
      </w:r>
    </w:p>
    <w:p>
      <w:r>
        <w:t>In concreto, dagli atti di causa emerge che la figlia e la ex moglie di A._______ non risiedono in Svizzera. A questo titolo si vedano in particolare: la decisione del Giudice dell'applicazione della pena del Cantone Ticino del 15 settembre 2010 (pag. 2 e 3) in cui si indica la volontà dell'interessato di fare rientro in Italia, a Finale Ligure, così da potere stare vicino alla figlia, il Rapporto di esecuzione della Polizia cantonale del 1° dicembre 2010 in cui si constata che l'ex coniuge e la figlia si sono trasferite a Finale Ligure, vivendo però separati dal ricorrente, nonché lo scritto 8 novembre 2011 della madre dell'interessato in cui ha indicato "sono a disposizione per ospitare mio figlio e mia nipote C._______ di 8 anni soprattutto nelle festività e vacanze scolastiche". Ciò è pure confermato dalle allegazioni del ricorrente stesso: con lettera dell'8 febbraio 2011 egli afferma che "ciò che era di mia conoscenza, era solo la decisione riguardo la revoca del permesso C, per questo motivo mi sono permesso in passato di recarmi in Svizzera, da mia mamma e la mia famiglia, con mia figlia"; con scritto dell'8 novembre successivo ha indicato "nel mese di febbraio fino a tutt'oggi sto cercando di sistemarmi in Italia, dove risiede anche mia figlia C._______ con la mamma", nonché nelle osservazioni del 29 febbraio 2009 (pag. 5) ha sostenuto che "il principio della proporzionalità e l'art. 8 cpv. 2 CEDU, imporrebbe comunque al ricorrente di potersi recare dalla madre e nonna, con la figlia, come pure avere contatti con gli altri famigliari e persone a lui vicine, essendo profondamente radicato in Svizzera dal 1964" e nelle osservazioni alla duplica del 5 ottobre 2012 (pag. 6) egli ha indicato Finale Ligure quale residenza di D._______, madre della figlia C._______. In Svizzera risiede unicamente la madre del ricorrente e non il coniuge o la figlia minorenne: l'art. 8 CEDU non trova pertanto applicazione. Circa la relazione con la madre residente in Svizzera, sebbene l'interessato intrattenga con essa un forte legame affettivo, non è possibile ritenere l'esistenza, ed egli nemmeno l'allega, delle condizioni eccezionali relative ad un rapporto di dipendenza effettiva e concreta fra loro. Il ricorrente non può dunque prevalersi dell'art. 8 cpv. 1 CEDU. Dalle osservazioni alla duplica del 5 ottobre 2012 emerge infine che dal settembre 2011 A._______ intrattiene una relazione sentimentale con una donna residente in Ticino dalla quale dovrebbe aver avuto un figlio nel febbraio 2013, sebbene nessuna informazione complementare in merito sia stata fornita al Tribunale sino ad oggi. Ciò detto, l'analisi di un'eventuale applicazione dell'art. 8 cpv. 1 CEDU in questo caso può rimanere irrisolta alla luce di quanto esposto al considerando seguente 10.3.</w:t>
      </w:r>
    </w:p>
    <w:p>
      <w:r>
        <w:rPr>
          <w:b/>
        </w:rPr>
        <w:t>E. 10.3</w:t>
      </w:r>
    </w:p>
    <w:p>
      <w:r>
        <w:t>Anche qualora il ricorrente avesse potuto prevalersi dell'art. 8 cpv. 1 CEDU, la protezione del diritto al rispetto della vita privata e familiare confe­rita della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pag. 22 seg. e la giurisprudenza ivi citata concernente un permesso di soggiorno in Svizzera). Vista la natura e la gravità delle infrazioni di cui A._______ si è reso protagonista in Svizzera, l'interesse pubblico ad un suo allontanamento dal territorio elvetico prevale manifestamente sul suo interesse privato a farvi ritorno. La misura emanata nei suoi confronti è pertanto giustificata ai sensi dell'art. 8 cpv. 2 CEDU. In conclusione, da quanto precede la decisione impugnata non viola l'art. 8 CEDU e il ricorrente non può fondare alcun diritto sulla base di tale disposizione. 11.Il ricorrente si è reso protagonista di crimini particolarmente pericolosi per l'ordine e la sicurezza pubblici e che riguardano beni giuridici estremamente sensibili, quali la salute e l'integrità fisica. Le violazioni alla LStup sono cominciate nel 1991 e si sono protratte sino al 2009. La sua attività delittuosa si è dunque manifestata per un lungo periodo ed è stata interrotta unicamente a seguito delle incarcerazioni. Date le circostanze, la ponderazione degli interessi in presenza conduce a considerare che l'interesse pubblico al mantenimento della misura di allontanamento nei confronti di A._______ prevale su quello di quest'ultimo a potersi recare in Svizzera senza particolari controlli. Il Tribunale ritiene inoltre che il divieto d'entrata della durata di tre anni appare proporzionato allo scopo di protezione dell'ordine e della sicurezza pubblici ricercati con questa misura. 12.Ne discende che l'UFM con decisione del 3 aprile 2012 non ha violato il diritto federale, né abusato del suo potere di apprezzamento; l'autorità di prime cure non ha accertato in modo inesatto o incompleto i fatti giuridicamente rilevanti ed inoltre la decisione non è inadeguata (art. 49 PA). Per questi motivi il ricorso va respinto. 13.Visto l'esito della procedura, le spese processuali vengono poste a carico del ricorrente (art. 63 cpv. 1 PA in relazione con gli art. 1-3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