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C-2493/2012 vom 7. Oktober 2013</w:t>
      </w:r>
    </w:p>
    <w:p>
      <w:r>
        <w:t>Bundesverwaltungsgericht, 2013-10-07, FR</w:t>
      </w:r>
    </w:p>
    <w:p>
      <w:r>
        <w:rPr>
          <w:b/>
        </w:rPr>
        <w:t xml:space="preserve">Quelle: </w:t>
      </w:r>
      <w:r>
        <w:t>https://mcp.opencaselaw.ch/entscheid/bvger_C-2493_2012</w:t>
      </w:r>
    </w:p>
    <w:p>
      <w:r>
        <w:t>FR: TAF C-2493/2012 du 7 octobre 2013</w:t>
      </w:r>
    </w:p>
    <w:p>
      <w:r>
        <w:t>IT: TAF C-2493/2012 del 7 ottobre 2013</w:t>
      </w:r>
    </w:p>
    <w:p>
      <w:pPr>
        <w:pStyle w:val="Heading2"/>
      </w:pPr>
      <w:r>
        <w:t>Regeste</w:t>
      </w:r>
    </w:p>
    <w:p>
      <w:r>
        <w:t>Regroupement familial</w:t>
      </w:r>
    </w:p>
    <w:p>
      <w:pPr>
        <w:pStyle w:val="Heading2"/>
      </w:pPr>
      <w:r>
        <w:t>Erwägungen</w:t>
      </w:r>
    </w:p>
    <w:p>
      <w:r>
        <w:rPr>
          <w:b/>
        </w:rPr>
        <w:t>E. 8</w:t>
      </w:r>
    </w:p>
    <w:p>
      <w:r>
        <w:t>Compte tenu des considérants exposés ci-dessus, le recours doit donc être admis en ce sens que la décision de l'ODM du 16 mars 2012 est annulée, que l'octroi de l'autorisation de séjour au titre du regroupement familial est approuvé et que la mesure d'interdiction d'entrée prononcée le 13 décembre 2001 est levée.</w:t>
      </w:r>
    </w:p>
    <w:p>
      <w:r>
        <w:rPr>
          <w:b/>
        </w:rPr>
        <w:t>E. 9</w:t>
      </w:r>
    </w:p>
    <w:p>
      <w:r>
        <w:t>Obtenant gain de cause, les recourants n'ont pas à supporter de frais de procédure (cf. art. 63 al. 1 a contrario PA), pas plus que l'autorité qui succombe (cf. art. 63 al. 2 PA). Ils ont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les dépens sont arrêtés, au regard des art. 8ss et de l'art. 14 al. 2 FITAF, à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