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C-248/2006 vom 26. November 2007</w:t>
      </w:r>
    </w:p>
    <w:p>
      <w:r>
        <w:t>Bundesverwaltungsgericht, 2007-11-26, FR</w:t>
      </w:r>
    </w:p>
    <w:p>
      <w:r>
        <w:rPr>
          <w:b/>
        </w:rPr>
        <w:t xml:space="preserve">Quelle: </w:t>
      </w:r>
      <w:r>
        <w:t>https://mcp.opencaselaw.ch/entscheid/bvger_C-248_2006</w:t>
      </w:r>
    </w:p>
    <w:p>
      <w:r>
        <w:t>FR: TAF C-248/2006 du 26 novembre 2007</w:t>
      </w:r>
    </w:p>
    <w:p>
      <w:r>
        <w:t>IT: TAF C-248/2006 del 26 novembre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 de limitation du nombre des étrangers prononcées par l'ODM sont susceptibles de recours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1.3</w:t>
      </w:r>
    </w:p>
    <w:p>
      <w:r>
        <w:t>Les recourants, qui sont directement touchés par la décision entreprise, ont qualité pour recourir (cf. art. 20 al. 1 LSEE et art. 48 PA).</w:t>
      </w:r>
    </w:p>
    <w:p>
      <w:r>
        <w:rPr>
          <w:b/>
        </w:rPr>
        <w:t>E. 1.4</w:t>
      </w:r>
    </w:p>
    <w:p>
      <w:r>
        <w:t>Présenté dans la forme et les délais prescrits par la loi, le recours est recevable (cf. art. 50 et art. 52 PA).</w:t>
      </w:r>
    </w:p>
    <w:p>
      <w:r>
        <w:rPr>
          <w:b/>
        </w:rPr>
        <w:t>E. 2.1</w:t>
      </w:r>
    </w:p>
    <w:p>
      <w:r>
        <w:t>Les recourants ont fait valoir en premier lieu que la décision attaquée était insuffisamment motivée, dès lors que l'ODM n'avait pas analysé les conséquences de leur retour forcé dans leur patrie.</w:t>
      </w:r>
    </w:p>
    <w:p>
      <w:r>
        <w:rPr>
          <w:b/>
        </w:rPr>
        <w:t>E. 2.2</w:t>
      </w:r>
    </w:p>
    <w:p>
      <w:r>
        <w:t>La jurisprudence a notamment déduit du droit d'être entendu, garanti par l'art. 29 al. 2 de la Constitution fédérale de la Confédération suisse du 18 avril 1999 (Cst., RS 101), l'obligation pour l'autorité de motiver sa décision, afin que l'intéressé puisse la comprendre ainsi que l'attaquer utilement s'il y a lieu, et que l'autorité de recours puisse exercer son contrôle (cf. notamment ATF 130 II 473 consid. 4.1, 130 II 530 consid. 4.3; 129 I 232 consid. 3.2). Cette obligation est cependant définie avant tout par les dispositions spéciales de procédure et, en particulier, par l'art. 35 PA qui n'en fixe toutefois pas les limites. A teneur de l'al. 1 de cette dernière disposition, les autorités sont tenues de motiver leurs décisions écrites, même lorsqu'elles sont notifiées sous forme de lettre. Selon la jurisprudence, les art. 35 al. 1 et 61 al. 2 PA ont la même portée que le droit d'obtenir une décision motivée qui a été déduit du droit d'être entendu formalisé à l'art. 29 al. 2 Cst. (cf. arrêts du Tribunal fédéral I 293/02 / I 302/02 du 21 juillet 2003, consid. 2.2, et H 249/00 du 27 mars 2001, consid. 4a).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néanmoins, en règle générale, il suffit que l'autorité mentionne au moins brièvement les motifs qui l'ont guidée, sans qu'elle soit tenue de répondre à tous les arguments présentés (ATF 130 II 530 consid. 4.3; 129 I 232 consid. 3.2; 126 I 97 consid. 2b; 112 Ia 107 consid. 2b). Elle peut ainsi passer sous silence ce qui, sans arbitraire, lui paraît à l'évidence non établi ou sans pertinence (cf. arrêt 5P.408/2004 du 10 janvier 2005, consid. 2.2 et réf. citées).</w:t>
      </w:r>
    </w:p>
    <w:p>
      <w:r>
        <w:rPr>
          <w:b/>
        </w:rPr>
        <w:t>E. 2.3</w:t>
      </w:r>
    </w:p>
    <w:p>
      <w:r>
        <w:t>Dans le cas d'espèce, s'il est vrai que, dans la motivation de sa décision du 27 avril 2005, l'ODM a énoncé de manière assez synthétique les conséquences d'un retour forcé des recourants au Ghana, cette autorité y a néanmoins clairement exposé les motifs pour lesquelles elle considérait que ceux-ci ne remplissaient pas les conditions d'une exception aux mesures de limitation au sens de l'art. 13 let. f OLE. Il appert au surplus que, sur la base des éléments figurant dans ladite décision, les recourants étaient en mesure de saisir le fondement essentiel que l'autorité de première instance avait retenu à l'appui de sa décision. Preuve en est le mémoire de recours circonstancié qu'ils ont déposé contre cette décision. De plus,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133 I 201 consid. 2.2; 130 II 530 consid. 7.3; 127 V 431 consid. 3d/aa; 126 V 130 consid. 2b). En l'occurrence, les possibilités offertes aux recourants dans le cadre de leur recours administratif remplissent ces conditions. Le TAF dispose en effet d'une pleine cognition et peut revoir aussi bien les questions de droit que les constatations de fait établies par l'autorité inférieure ou encore l'opportunité de sa décision (art. 49 PA). En conséquence, l'argument tiré de l'insuffisance de motivation doit être écarté, d'autant plus que l'Office fédéral, qui est appelé à prononcer de nombreuses décisions en la matière, doit se montrer expéditif (cf. ATF 98 Ib 194 consid. 2).</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en relation avec l'art. 18 al. 4 et l'art. 25 al. 1 LSEE).</w:t>
      </w:r>
    </w:p>
    <w:p>
      <w:r>
        <w:rPr>
          <w:b/>
        </w:rPr>
        <w:t>E. 3.2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(cf. art. 13 let. f OLE).</w:t>
      </w:r>
    </w:p>
    <w:p>
      <w:r>
        <w:rPr>
          <w:b/>
        </w:rPr>
        <w:t>E. 4.1</w:t>
      </w:r>
    </w:p>
    <w:p>
      <w:r>
        <w:t>A ce propos, il sied de relever que ni l'ODM, ni a fortiori le TAF, ne sont liés par l'appréciation émise par les autorités cantonales de police des étrangers en matière d'exemption des nombres maximums fixés par le Conseil fédéral.</w:t>
      </w:r>
    </w:p>
    <w:p>
      <w:r>
        <w:rPr>
          <w:b/>
        </w:rPr>
        <w:t>E. 4.2</w:t>
      </w:r>
    </w:p>
    <w:p>
      <w:r>
        <w:t>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w:t>
      </w:r>
    </w:p>
    <w:p>
      <w:r>
        <w:rPr>
          <w:b/>
        </w:rPr>
        <w:t>E. 5.1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5.2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41s., ATF 128 II 200 consid. 4 p. 207s., ATF 124 II 110 consid. 2 p. 111s., ATF 123 II 125 consid. 2 p. 126s., et la jurisprudence citée ; Alain Wurzburger, La jurisprudence récente du Tribunal fédéral en matière de police des étrangers, Revue de droit administratif et fiscal [RDAF] I 1997 p. 267ss). 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précité, consid. 3 ; Wurzburger, op. cit, p. 295, et références citées).</w:t>
      </w:r>
    </w:p>
    <w:p>
      <w:r>
        <w:rPr>
          <w:b/>
        </w:rPr>
        <w:t>E. 5.3</w:t>
      </w:r>
    </w:p>
    <w:p>
      <w:r>
        <w:t>S'agissant des séjours effectués sans autorisation idoine, le Tribunal fédéral a eu l'occasion de préciser que, de manière générale, de tels séjours ne devaient pas être pris en compte dans l'examen d'un cas de rigueur, respectivement que la longue durée d'un séjour en Suisse n'était pas un élément constitutif d'un cas personnel d'extrême gravité dans la mesure où ce séjour était illégal. Sinon, l'obstination à violer la législation en vigueur serait en quelque sorte récompensée. La Haute Cour a relevé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sa situation professionnelle, sur son intégration sociale, sur son état de santé, etc. (cf. ATF 130 II précité, consid. 3; ATAF 2007/16 consid. 5.4 p. 196; cf. également les ATF 2A.45/2007 du 17 avril 2007 consid. 5, 2A.718/2006 du 21 mars 2007 consid. 3, 2A.586/2006 du 6 décembre 2006 consid. 2.1, 2A.59/2006 du 3 mai 2006 consid. 3, et 2A.573/2005 du 6 février 2006 consid. 3.1). Il ressort notamment de la jurisprudence précitée que l'art. 13 let. f OLE n'est pas en premier lieu destiné à régulariser la situation des personnes arrivées clandestinement en Suisse. Il convient en effet d'appliquer à cette catégorie d'étrangers les mêmes critères qu'aux autres étrangers. Le fait que certains étrangers aient opté pour l'illégalité peut les desservir, au regard des conditions d'une exception aux mesures de limitation du nombre des étrangers. Ainsi, la durée du séjour illégal qu'ils ont effectué en Suisse n'est pas prise en considération.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précité, consid. 5.4).</w:t>
      </w:r>
    </w:p>
    <w:p>
      <w:r>
        <w:rPr>
          <w:b/>
        </w:rPr>
        <w:t>E. 5.4</w:t>
      </w:r>
    </w:p>
    <w:p>
      <w:r>
        <w:t>Lorsqu'une famille demande de pouvoir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(cf. ATF 123 II précité consid. 4; Wurzburger, op. cit. pp. 297/298).</w:t>
      </w:r>
    </w:p>
    <w:p>
      <w:r>
        <w:rPr>
          <w:b/>
        </w:rPr>
        <w:t>E. 6</w:t>
      </w:r>
    </w:p>
    <w:p>
      <w:r>
        <w:t>Dans leur recours, les intéressés invoquent une violation du principe de la bonne foi de la part de l'autorité intimée, soutenant qu'elle s'est écartée de la circulaire du 21 décembre 2001 concernant la réglementation du séjour des étrangers dans les cas personnels d'extrême gravité pour bénéficier d'une exception aux mesures de limitation, en faisant abstraction de la durée de leur présence illégale en Suisse et en leur reprochant le caractère irrégulier de leur séjour.</w:t>
      </w:r>
    </w:p>
    <w:p>
      <w:r>
        <w:rPr>
          <w:b/>
        </w:rPr>
        <w:t>E. 6.1</w:t>
      </w:r>
    </w:p>
    <w:p>
      <w:r>
        <w:t>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(ATF 124 II 265 consid. 2a). A certaines conditions, le citoyen peut ainsi exiger de l'autorité qu'elle se conforme aux promesses ou assurances qu'elle lui a faites et ne trompe pas la confiance qu'il a légitimement placée dans celles-ci (cf. ATF 128 II 112 consid. 10b/aa; 118 Ib 580 consid. 5a). Entre autres conditions toutefois, l'administration doit être intervenue à l'égard des administrés dans une situation concrète (cf. ATF 125 I 267 consid. 4c) et celui-ci doit avoir pris, en se fondant sur les promesses ou le comportement de l'administration, des dispositions qu'il ne saurait modifier sans subir de préjudice (cf. ATF 129 II 361 consid. 7.1 et les références citées).</w:t>
      </w:r>
    </w:p>
    <w:p>
      <w:r>
        <w:rPr>
          <w:b/>
        </w:rPr>
        <w:t>E. 6.2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6.3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des intéressés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Les recourants ne peuvent ainsi tirer aucun avantage de cette circulaire (cf. arrêt du Tribunal fédéral 2A.531/2005 du 7 décembre 2005). Il s'impose de souligner à ce propos que, contrairement à ce que ces derniers laissent entendre, l'ODM n'a nullement exclu, dans la motivation de sa décision, que des personnes séjournant illégalement en Suisse puissent être mises au bénéfice d'une exception aux mesures de limitation. L'autorité intimée a seulement rappelé qu'un séjour illégal en Suisse ne pouvait constituer, en lui-même, un motif d'octroi d'une exception aux mesures de limitation, ainsi qu'il ressort d'ailleurs de la jurisprudence du Tribunal fédéral rappelée ci-avant, et qu'il convenait de procéder à l'examen de toutes les circonstances du cas d'espèce, en tenant compte des critères habituels du cas de rigueur. Elle a en outre simplement relevé que les intéressés n'avaient pas eu un comportement irréprochable en Suisse, ce qui est parfaitement exact puisqu'ils sont entrés illégalement dans ce pays et ont gravement enfreint les prescriptions de police des étrangers en séjournant (respectivement, en travaillant) en Suisse sans autorisation (cf. Jurisprudence des autorités administratives de la Confédération [JAAC] 63.38 et JAAC 63.2). On ne saurait dès lors faire grief à l'autorité intimée d'avoir attaché une importance disproportionnée aux infractions commises par les recourants. Les arguments relatifs au principe de la bonne foi soulevés par ces derniers sont donc mal fondés.</w:t>
      </w:r>
    </w:p>
    <w:p>
      <w:r>
        <w:rPr>
          <w:b/>
        </w:rPr>
        <w:t>E. 7</w:t>
      </w:r>
    </w:p>
    <w:p>
      <w:r>
        <w:t>En l'espèce, les recourants ont sollicité l'octroi d'une exception aux mesures de limitation afin de demeurer dans le canton de Genève où ils vivent désormais depuis onze ans. Se fondant sur les pièces du dossier, le TAF estime que les éléments portés à sa connaissance permettent de constater que A._______ est entré en Suisse au moyen d'un visa en 1995, afin d'y mener un ministère pastoral parmi la communauté ghanéenne, que sa demande de prolongation de visa ayant été refusée, il a ensuite quitté le territoire helvétique, qu'il y est revenu illégalement en 1996, que son épouse et sa fille l'ont vraisemblablement rejoint cette même année, qu'ils y ont résidé en toute illégalité - les deux demandes d'autorisation de séjour et de travail du prénommé ayant été rejetées par les autorités genevoises compétentes en 1996, respectivement en 2000 - et que depuis le dépôt de leur demande de régularisation, le 21 juin 2002, ils y demeurent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2A.565/2005 du 23 décembre 2005). S'agissant de la continuité de leur présence en Suisse, le TAF relèvera qu'elle n'est pas clairement établie, dans la mesure où il ressort du courrier du 24 août 2006 que A._______ était au bénéfice d'un visa pour les Etats-Unis valable jusqu'en juillet 2007 et qu'il s'y était rendu à plusieurs reprises, la fréquence de ces séjours n'étant toutefois pas connue. En tout état de cause,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8.1</w:t>
      </w:r>
    </w:p>
    <w:p>
      <w:r>
        <w:t>Cela étant, il convient d'examiner les critères d'évaluation qui, autres que la seule durée du séjour en Suisse, pourraient rendre le retour des recourants dans leur pays d'origine particulièrement difficile.</w:t>
      </w:r>
    </w:p>
    <w:p>
      <w:r>
        <w:rPr>
          <w:b/>
        </w:rPr>
        <w:t>E. 8.2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5.2).</w:t>
      </w:r>
    </w:p>
    <w:p>
      <w:r>
        <w:rPr>
          <w:b/>
        </w:rPr>
        <w:t>E. 8.3</w:t>
      </w:r>
    </w:p>
    <w:p>
      <w:r>
        <w:t>En l'occurrence, les recourants justifient avant tout leur démarche par leur intégration à la société genevoise et l'absence de liens avec leur pays d'origine. A ce propos, le dossier révèle que A._______ et B._______ n'ont apparemment jamais eu de démêlés avec la justice ou les services de police et ne sont pas connus des autorités de poursuites et faillites. Toutefois, en ce qui concerne l'intégration socioprofessionnelle du prénommé, force est de constater que, comparée à celle de la moyenne des étrangers présents en Suisse depuis plus de dix ans, elle ne revêt aucun caractère exceptionnel. En effet, bien que le Tribunal ne remette nullement en cause les efforts d'intégration accomplis par ce dernier, ni les excellents contacts qu'il a pu établir tout particulièrement avec ses fidèles dans le cadre de son activité de pasteur, il ne saurait pour autant considérer que celui-ci se soit créé avec ce pays des attaches à ce point profondes et durables qu'il ne puisse plus raisonnablement envisager un retour dans son pays d'origine. Quant aux nombreuses lettres de recommandation versées en cause, elles démontrent qu'il a réussi à gagner la sympathie de son entourage, notamment professionnel. S'agissant toutefois des relations de travail, d'amitié ou de voisinage qu'il a nouées durant son séjour sur le territoire helvétique, elles ne sauraient non plus justifier une exception aux mesures de limitation du nombre des étrangers. Il convient en effet de relever que, vu la nature de l'activité déployée (qui implique des contacts nourris avec les fidèles), les liens sont tout à fait normaux. Il sied au demeurant d'observer qu'il n'a de toute évidence pas acquis de connaissances ou de qualifications spécifiques qu'il ne lui serait pas possible de mettre à profit ailleurs qu'en Suisse. De plus, on ne saurait considérer qu'il ait fait preuve d'une évolution professionnelle remarquable dans ce pays, qui justifierait, à elle seule, l'admission d'un cas de rigueur fondée sur l'art. 13 let. f OLE (cf. arrêt du Tribunal fédéral 2A.586/2006 consid. 2.2 et les arrêts du Tribunal fédéral non publiés du 12 août 1996 en la cause J. c/ DFJP, du 23 janvier 1998 dans la cause A. c/ DFJP et du 2 février 1999 dans la cause P. SA et B. c/ DFJP). Son épouse, pour sa part, n'a apparemment jamais exercé une activité lucrative depuis son arrivée en Suisse. Par surabondance, A._______ n'a pas toujours fait preuve d'un comportement exempt de critiques envers les autorités helvétiques. Ainsi a-t-il continué à séjourner et travailler illégalement en Suisse, malgré le refus des autorités genevoises de lui délivrer une autorisation idoine en 1996 et en 2000. On ne saurait dans ces circonstances, contrairement à ce qu'il soutient, considérer qu'il est particulièrement intégré aux us et coutumes prévalant en ce pays. Il est donc malvenu de se prévaloir d'un comportement irréprochable pour prétendre à l'octroi d'une exception aux mesures de limitation au sens de l'art. 13 let. f OLE.</w:t>
      </w:r>
    </w:p>
    <w:p>
      <w:r>
        <w:rPr>
          <w:b/>
        </w:rPr>
        <w:t>E. 8.4</w:t>
      </w:r>
    </w:p>
    <w:p>
      <w:r>
        <w:t>Par ailleurs, il ne faut pas perdre de vue que A._______ et son épouse ont vécu dans leur patrie en tout cas jusqu'en 1990 - le prénommé ayant poursuivi sa formation à Singapour, puis en Grande-Bretagne jusqu'en 1995 - et qu'ils y ont ainsi passé la majeure partie de leur existence, notamment leur adolescence, période durant laquelle se forge la personnalité, en fonction notamment de l'environnement socioculturel (cf. consid. 4.4 supra ; cf. en particulier, l'ATF 123 II 125 consid. 5b/aa p. 132). Ils disposent donc nécessairement d'un important réseau social et de solides attaches culturelles au Ghana, où ils ont accompli toute leur scolarité et où A._______ a travaillé comme courtier en assurances et marketing pendant quelques années avant d'entreprendre des études de théologie. Dans ces conditions, le Tribunal ne saurait admettre que leur séjour sur le territoire helvétique ait été suffisamment long pour les rendre étrangers à leur patrie au point qu'ils ne seraient plus en mesure, après une période d'adaptation, d'y retrouver leurs repères. Par ailleurs, il ne ressort pas des pièces du dossier que des membres de leur famille proche seraient établis sur le territoire helvétique.</w:t>
      </w:r>
    </w:p>
    <w:p>
      <w:r>
        <w:rPr>
          <w:b/>
        </w:rPr>
        <w:t>E. 8.5</w:t>
      </w:r>
    </w:p>
    <w:p>
      <w:r>
        <w:t>Quant à la situation de leurs enfants, il sied de constater que C._______, âgée aujourd'hui de onze ans, est arrivée en Suisse avec sa mère juste après sa naissance, et que D._______, âgé actuellement de neuf ans, a toujours vécu en Suisse. Même s'ils ne connaissent pas leur pays d'origine, ils restent attachés à la culture et aux coutumes ghanéennes par l'influence de leurs parents. Il n'est pas contesté qu'ils parlent bien le français, qu'ils ont débuté leur scolarité dans le canton de Genève et qu'ils sont bien adaptés au milieu scolaire et social, si bien qu'un retour dans leur pays d'origine entraînerait assurément certaines difficultés. Cependant, en raison de leur âge, ceux-ci demeurent encore largement dépendants de leurs parents et imprégnés de la culture du milieu dans lequel ils ont été élevés. Ils devraient dès lors être en mesure de s'adapter sans trop de problèmes à leur nouvel environnement et de surmonter un changement de régime scolaire; leur jeune âge et leur capacité d'adaptation ne peuvent que les aider à supporter ce changement (ATF 123 II 125 et jurisprudence citée).</w:t>
      </w:r>
    </w:p>
    <w:p>
      <w:r>
        <w:rPr>
          <w:b/>
        </w:rPr>
        <w:t>E. 8.6</w:t>
      </w:r>
    </w:p>
    <w:p>
      <w:r>
        <w:t>Le Tribunal n'ignore pas que le retour des recourants dans leur pays d'origine après plusieurs années passées en Suisse ne sera pas exempt de difficultés. Rien ne permet toutefois d'affirmer que ces difficultés seraient plus graves pour eux que pour n'importe lequel de leurs concitoyens appelé à quitter la Suisse au terme de son séjour dans ce pays, ou que leur situation serait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Comme l'a relevé le Tribunal fédéral dans sa jurisprudence (cf. ATF 123 II 125 consid. 5b/dd p. 133),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w:t>
      </w:r>
    </w:p>
    <w:p>
      <w:r>
        <w:rPr>
          <w:b/>
        </w:rPr>
        <w:t>E. 8.7</w:t>
      </w:r>
    </w:p>
    <w:p>
      <w:r>
        <w:t>Dans ces conditions, après une appréciation de l'ensemble des circonstances, le Tribunal, à l'instar de l'autorité de première instance, arrive à la conclusion que la situation des recourants n'est pas constitutive d'un cas personnel d'extrême gravité au sens de l'art. 13 let. f OLE.</w:t>
      </w:r>
    </w:p>
    <w:p>
      <w:r>
        <w:rPr>
          <w:b/>
        </w:rPr>
        <w:t>E. 9</w:t>
      </w:r>
    </w:p>
    <w:p>
      <w:r>
        <w:t>Il ressort de ce qui précède que, par sa décision du 27 avril 2005,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des recourants (cf. art. 63 al. 1 PA et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