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C-2488/2012 vom 21. Februar 2014</w:t>
      </w:r>
    </w:p>
    <w:p>
      <w:r>
        <w:t>Bundesverwaltungsgericht, 2014-02-21, DE</w:t>
      </w:r>
    </w:p>
    <w:p>
      <w:r>
        <w:rPr>
          <w:b/>
        </w:rPr>
        <w:t xml:space="preserve">Quelle: </w:t>
      </w:r>
      <w:r>
        <w:t>https://mcp.opencaselaw.ch/entscheid/bvger_C-2488_2012</w:t>
      </w:r>
    </w:p>
    <w:p>
      <w:r>
        <w:t>FR: TAF C-2488/2012 du 21 février 2014</w:t>
      </w:r>
    </w:p>
    <w:p>
      <w:r>
        <w:t>IT: TAF C-2488/2012 del 21 febbraio 2014</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VwVG,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Gemäss Art. 67 Abs. 2 Bst. a AuG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3.1</w:t>
      </w:r>
    </w:p>
    <w:p>
      <w:r>
        <w:t>Wird gegen eine Person, die nicht das Bürgerrecht eines Mitgliedstaates der Europäischen Union besitzt, ein Einreiseverbot verhängt, so wird dies nach Massgabe der Bedeutung des Falles im Schengener Informationssystem (SIS) ausgeschrieben (vgl. Art. 21 und Art. 24 der SIS-II-Verordnung [Abl. L 381 vom 28. Dezember 2006, S. 4 - 23], welche per 9. April 2013 die in den hier relevanten Punkten gleichlautenden Art. 94 und Art. 96 des Schengener Durchführungsübereinkommen [SDÜ, Abl. L 239 vom 22. September 2000, S. 19 - 62] abgelöst haben [vgl. den Beschluss des Rates 2013/158/EU vom 7. März 2013, Abl. L 87 vom 27. März 2013, S. 10 - 11 i.V.m. Art. 52 Abs. 1 SIS-II-Verordnung]). Damit wird dem Betroffenen grundsätzlich die Einreise in das Hoheitsgebiet aller Schengen-Mitgliedstaaten verboten (vgl. Art. 5 Abs. 1 Bst. d sowie Art. 13 Abs. 1 Schengener Grenzkodex [SGK, Abl. L 105 vom 13. April 2006, S. 1 - 32]). Die Mitgliedstaaten können der betroffenen Person aus wichtigen Gründen oder aufgrund internationaler Verpflichtungen die Einreise in das eigene Hoheitsgebiet gestatten bzw. ihr ein Visum mit räumlich beschränkter Gültigkeit ausstellen (vgl. Art. 13 Abs. 1 i.V.m. Art. 5 Abs. 4 Bst. c SGK; Art. 25 Abs. 1 Bst. a [ii] Visakodex, Abl. L 243 vom 15. September 2009).</w:t>
      </w:r>
    </w:p>
    <w:p>
      <w:r>
        <w:rPr>
          <w:b/>
        </w:rPr>
        <w:t>E. 3.2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Bestand ein solches Verhalten in der Vergangenheit, so wird die Gefahr entsprechender künftiger Störungen von Gesetzes wegen vermutet (vgl. Botschaft, a.a.O. S. 3760; vgl. auch Urteile des Bundesverwaltungsgerichts C-5483/2011 vom 25. März 2013 E. 5 und C-2731/2011 vom 18. November 2011 E. 4.3 mit ausführlichen Hinweisen).</w:t>
      </w:r>
    </w:p>
    <w:p>
      <w:r>
        <w:rPr>
          <w:b/>
        </w:rPr>
        <w:t>E. 4</w:t>
      </w:r>
    </w:p>
    <w:p>
      <w:r>
        <w:t>Die Vorinstanz hat das gegen A._______ verhängte Einreiseverbot mit den wiederholten strafrechtlichen Verurteilungen begründet, die ab dem Jahr 2005 gegen ihn ausgesprochen wurden. Sie hat weiterhin darauf hingewiesen, dass sich die kantonale Behörde bereits am 3. September 2009 - somit noch vor seiner letzten Verurteilung am 21. Dezember 2010 - gegen eine weitere Verlängerung seiner Aufenthaltsbewilligung ausgesprochen und ihn aus der Schweiz weggewiesen hat. Zweifellos stellen die Straftaten des Beschwerdeführers Verstösse gegen die öffentliche Sicherheit und Ordnung dar, was von ihm auch gar nicht bestritten wird. Seine Überzeugung, dass von ihm künftig keine entsprechende Gefahr mehr ausgehen werde, ist aufgrund der gegenteiligen gesetzlichen Vermutung (vgl. E. 3.2) jedoch nicht massgeblich. Dass er einen Fernhaltegrund im Sinne von Art. 67 Abs. 2 Bst. a AuG gesetzt hat, ist folglich nicht in Abrede zu stellen.</w:t>
      </w:r>
    </w:p>
    <w:p>
      <w:r>
        <w:rPr>
          <w:b/>
        </w:rPr>
        <w:t>E. 5</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5.1</w:t>
      </w:r>
    </w:p>
    <w:p>
      <w:r>
        <w:t>Die gegen den Beschwerdeführer mit Urteil vom 21. Dezember 2010 verhängte Freiheitsstrafe belief sich auf 3 Jahre, in die der noch zu vollziehende Strafrest von 341 Tagen aus den beiden Vorverurteilungen mit einbezogen wurde. Auf eine vollständige Ausfertigung und damit auch auf die Begründung des Urteils wurde zwar verzichtet, allerdings zeigen dessen Sachverhalt, das Urteilsdispositiv sowie die Strafhöhe, dass der Verurteilung teils schwere Straftaten zugrunde liegen und der Beschwerdeführer hierfür die volle Verantwortung trägt.</w:t>
      </w:r>
    </w:p>
    <w:p>
      <w:r>
        <w:rPr>
          <w:b/>
        </w:rPr>
        <w:t>E. 5.2</w:t>
      </w:r>
    </w:p>
    <w:p>
      <w:r>
        <w:t>Verurteilt wurde der Beschwerdeführer wegen mehrfacher (teilweise qualifizierter) Widerhandlung gegen das Betäubungsmittelgesetz, wobei aArt. 19 Ziff.1 i.V.m. aArt. 19 Ziff. 2 Bst. a des Betäubungsmittelgesetzes vom 3. Oktober 1951 (BetmG, SR 812.121), dies in der bis zum 30. Juni 2011 geltenden Fassung (AS 1975 1220), zur Anwendung gelangte. Zum anderen erfolgte die Verurteilung wegen mehrfachen Betäubungsmittelkonsums i.S. der auch heute noch geltenden Fassung von Art. 19a Ziff. 1 BetmG. Bei den dem Beschwerdeführer vorgeworfenen Straftaten nach aArt. 19 Ziff. 2 Bst. a BetmG handelt es sich um Delikte, die für eine besondere Gefährlichkeit des Täters und eine von ihm auch künftig ausgehende schwerwiegende Gefahr für die öffentliche Ordnung sprechen. Ziehen derartige Straftaten die Anordnung fremdenpolizeilicher Massnahmen nach sich, so ist dabei im Einklang mit dem Europäischen Gerichtshof für Menschenrechte (EGMR) ein strenger Massstab anzulegen (vgl. BGE 125 II 521 E. 4a). Selbst ein vergleichsweise geringes Restrisiko eines Rückfalls ist dabei nicht hinzunehmen; gleichzeitig darf auch generalpräventiven Gesichtspunkten Rechnung getragen werden (vgl. Urteil des Bundesgerichts 2C_833/2011 vom 6. Juni 2012 E. 3.2.1 mit Hinweisen).</w:t>
      </w:r>
    </w:p>
    <w:p>
      <w:r>
        <w:rPr>
          <w:b/>
        </w:rPr>
        <w:t>E. 5.2.1</w:t>
      </w:r>
    </w:p>
    <w:p>
      <w:r>
        <w:t>Der Beschwerdeführer selbst ist der Ansicht, dass von ihm keine geschweige denn eine schwerwiegende Gefahr ausgehe, welche die Überschreitung der in Art. 67 Abs. 3 Satz 1 AuG genannten Höchstdauer des Einreiseverbots zuliesse. Seine Suchtmittelabhängigkeit führt er auf den in der Kindheit und Jugend erlittenen sexuellen Missbrauch und eine damit zusammenhängende posttraumatische Belastungsstörung zurück, einen Kausalzusammenhang, den auch das Bezirksgericht Baden im Urteil vom 21. Dezember 2010 anerkannt habe. Letzteres ist jedoch eine Unterstellung, für die das Urteil keinerlei Anhaltspunkte liefert. Auch das Gutachten der PDAG vom 14. Oktober 2010 erwähnt keinen Zusammenhang zwischen dem sexuellen Missbrauch und der Suchterkrankung, sondern hält nur einen Zusammenhang von Suchterkrankung und Delinquenz für wahrscheinlich. Lediglich die ärztliche Stellungnahme vom 7. September 2011, beigefügt dem Wiedererwägungsgesuch vom 25. Oktober 2011, weist auf die Möglichkeit eines Zusammenhangs zwischen Missbrauch, Suchterkrankung und Straftaten hin (Seite 3). Ins Gewicht fällt diese Beurteilung jedoch nicht. Selbst dann, wenn der sexuelle Missbrauch Auslöser dafür war, dass der Beschwerdeführer in den Drogenkonsum abrutschte und zwecks Finanzierung seines Konsums immer wieder straffällig wurde (vgl. hierzu die soeben zitierte ärztliche Stellungnahme S. 4), bedeutet die Beendigung der stationären Therapie nicht, dass die vom Beschwerdeführer ausgehende Gefahr für die öffentliche Ordnung gering ist. Seine Therapie dauerte 15 Monate und endete, unter Anordnung einer strafrechtlichen Probezeit von 2 Jahren, am 7. Mai 2012. Ihr Erfolg wird sich erst zeigen müssen, was bedeutet, dass der Beschwerdeführer sein Wohlverhalten noch geraume Zeit unter Beweis stellen muss.</w:t>
      </w:r>
    </w:p>
    <w:p>
      <w:r>
        <w:rPr>
          <w:b/>
        </w:rPr>
        <w:t>E. 5.2.2</w:t>
      </w:r>
    </w:p>
    <w:p>
      <w:r>
        <w:t>Der Beschwerdeführer macht zwar geltend, das Einreiseverbot habe für ihn die Wirkung einer Zusatzstrafe; diese Auffassung steht jedoch im Widerspruch zur Rechtsprechung, die festhält, dass Strafrecht und Ausländerrecht unterschiedliche Ziele verfolgen und unabhängig voneinander anzuwenden sind. Neben der Sicherheitsfunktion hat der Straf- und Massnahmenvollzug eine resozialisierende bzw. therapeutische Zielsetzung, während für die Fremdenpolizeibehörden das Interesse der öffentlichen Sicherheit und Ordnung im Vordergrund steht. Hieraus ergibt sich, dass im letzteren Fall für die Legalprognose ein strengerer und über die strafrechtliche Bewährungsfrist hinausgehender Massstab anzuwenden ist (vgl. BGE 137 II 233 E. 5.2.2).</w:t>
      </w:r>
    </w:p>
    <w:p>
      <w:r>
        <w:rPr>
          <w:b/>
        </w:rPr>
        <w:t>E. 5.3</w:t>
      </w:r>
    </w:p>
    <w:p>
      <w:r>
        <w:t>Angesichts dessen, aber auch angesichts der Schwere der Straftaten und des noch nicht einmal zwei Jahre zurückliegenden Therapieendes, ist eine vom Beschwerdeführer ausgehende schwerwiegende Gefahr für die öffentliche Sicherheit und Ordnung im Sinne von Art. 67 Abs. 3 Satz 2 AuG zu bejahen; die Anordnung eines Fernhaltemassnahme, welche die Dauer von fünf Jahren übersteigt, ist daher gerechtfertigt (vgl. BGE 139 II 121 E. 6). Es stellt sich demzufolge nur die Frage, ob die im vorliegenden Fall angeordnete Dauer von zehn Jahren verhältnismässig und angemessen ist.</w:t>
      </w:r>
    </w:p>
    <w:p>
      <w:r>
        <w:rPr>
          <w:b/>
        </w:rPr>
        <w:t>E. 5.3.1</w:t>
      </w:r>
    </w:p>
    <w:p>
      <w:r>
        <w:t>Dabei fällt nicht nur die Schwere der verübten Straftaten ins Gewicht, sondern auch der Umstand, dass der Beschwerdeführer während rund zehn Jahren immer wieder straffällig wurde und auch die Verwarnung der Migrationsbehörde vom 4. April 2006 sowie deren Ausweisungsandrohung vom 22. August 2007 nicht ernst nahm (vgl. Einspracheentscheid des Rechtsdienstes des Migrationsamtes Aargau vom 22. September 2010). Gegen die Verfügung vom 3. September 2009, welche die Verlängerung seiner Aufenthaltsbewilligung verweigerte, legte er zwar Rechtsmittel ein; dies hinderte ihn aber nicht an der Begehung weiterer gravierender Straftaten (vgl. Sachverhalt des Urteils des Bezirksgerichts Baden vom 21. Dezember 2010). Damit erscheint auch die zehnjährige Dauer des Einreiseverbots grundsätzlich als angemessen.</w:t>
      </w:r>
    </w:p>
    <w:p>
      <w:r>
        <w:rPr>
          <w:b/>
        </w:rPr>
        <w:t>E. 5.3.2</w:t>
      </w:r>
    </w:p>
    <w:p>
      <w:r>
        <w:t>Soweit der Beschwerdeführer die fehlende Chance beklagt, ein neues, geordnetes Leben mit Ehefrau und Kind in der Schweiz beginnen zu können, ist darauf hinzuweisen, dass sein Privat- und Familienleben in erster Linie durch das fehlende Anwesenheitsrecht in der Schweiz eingeschränkt wird. Der Wegfall des Einreiseverbots würde den Eheleuten jedenfalls nicht, wie der Beschwerdeführer zu glauben scheint, ein Zusammenleben in der Schweiz ermöglichen. Würde dem Beschwerdeführer zu gegebener Zeit eine neue Aufenthaltsbewilligung im Rahmen des Familiennachzugs erteilt werden, so würde dies allerdings zu einer Aufhebung der Fernhaltemassnahme führen. Die Vorinstanz konnte dem Wunsch des Beschwerdeführers nach familiärem Zusammensein demzufolge nur dadurch entsprechen, dass sie ihm, wie sie auch in ihrer Vernehmlassung vom 10. Juli 2012 deutlich gemacht hat, Suspensionen des Einreiseverbots in Aussicht stellte. Eine solche Suspension erfolgte denn auch erstmals anlässlich der bevorstehenden Geburt des Sohnes mit Verfügung vom 15. August 2013. Zudem ist festzustellen, dass der Beschwerdeführer seine Ehefrau rund drei Wochen vor der Beendigung seiner stationären Therapie bzw. der am selben Tag erfolgten Ausschaffung geheiratet hat. Diese hat in ihrem Schreiben vom 31. Juli 2012 auch eingeräumt, sich bei der Eheschliessung über die bevorstehende Ausschaffung ihres Ehemannes im Klaren gewesen zu sein. Beiden Ehegatten war damit bewusst, dass sie ihre Beziehung nur unter sehr eingeschränkten Bedingungen oder allenfalls im gemeinsamen Herkunftsland, Kosovo, würden führen können.</w:t>
      </w:r>
    </w:p>
    <w:p>
      <w:r>
        <w:rPr>
          <w:b/>
        </w:rPr>
        <w:t>E. 5.3.3</w:t>
      </w:r>
    </w:p>
    <w:p>
      <w:r>
        <w:t>Dass die schweizerische Ehefrau des Beschwerdeführers und der erst wenige Monate alte gemeinsame Sohn in der Schweiz leben, stellt - angesichts der offenbar intakten familiären Beziehungen - die Angemessenheit des zehnjährigen Einreiseverbots dennoch in Frage. Insbesondere ist gemäss Art. 3 Abs. 1 des Übereinkommens vom 20. November 1989 über die Rechte des Kindes (SR 0.107) das Wohl des Kindes vorrangig zu berücksichtigen; dies bedeutet auch, dass das Kind ein Recht auf Kontakt zu seinen Eltern hat und für deren Fehlverhalten nicht die Konsequenzen tragen soll (vgl. BVGE 2013/4 E. 7.4.4 mit Hinweisen). Der Umstand, dass die Ehefrau des Beschwerdeführers in der Schweiz aufgewachsen und eingebürgert ist und ihre Familie quasi allein ernährt, ist ebenfalls zu beachten.</w:t>
      </w:r>
    </w:p>
    <w:p>
      <w:r>
        <w:rPr>
          <w:b/>
        </w:rPr>
        <w:t>E. 5.3.4</w:t>
      </w:r>
    </w:p>
    <w:p>
      <w:r>
        <w:t>Dem öffentlichen Interesse an einer längerfristigen Fernhaltung steht somit ein erhebliches Interesse des Beschwerdeführers und seiner Familienangehörigen gegenüber. Letzteres ist dahingehend zu würdigen, dass das Einreiseverbot und die dadurch verursachte Erschwernis des Familienlebens zwar fünf Jahre übersteigen soll (vgl. E. 5.3), aber unter der angeordneten - und unter anderen Umständen grundsätzlich angemessenen - Dauer von zehn Jahren liegen darf, um der jungen Familie eine zeitliche Perspektive zu gewähren. Diese Perspektive setzt allerdings zwingend ein Wohlverhalten voraus, welches der Beschwerdeführer sowohl in seinem Heimatland als auch bei Besuchen in der Schweiz unter Beweis zu stellen hat.</w:t>
      </w:r>
    </w:p>
    <w:p>
      <w:r>
        <w:rPr>
          <w:b/>
        </w:rPr>
        <w:t>E. 5.4</w:t>
      </w:r>
    </w:p>
    <w:p>
      <w:r>
        <w:t>Eine wertende Gewichtung der sich entgegenstehenden Interessen führt damit zum Schluss, dass das Einreiseverbot dem Grundsatz nach zu bestätigen ist, mit der angeordneten Dauer von zehn Jahren jedoch unangemessen lang erscheint. In Würdigung der gesamten Umstände ist davon auszugehen, dass dem öffentlichen Interesse an der Fernhaltung des Beschwerdeführers mit einem auf sieben Jahre befristeten Einreiseverbot hinreichend Rechnung getragen wird.</w:t>
      </w:r>
    </w:p>
    <w:p>
      <w:r>
        <w:rPr>
          <w:b/>
        </w:rPr>
        <w:t>E. 6</w:t>
      </w:r>
    </w:p>
    <w:p>
      <w:r>
        <w:t>Aus diesen Erwägungen folgt, dass die angefochtene Verfügung Bundesrecht verletzt (vgl. Art. 49 VwVG). Die Beschwerde ist teilweise gutzuheissen und das Einreiseverbot auf sieben Jahre, d.h. bis zum 7. Mai 2019, zu befristen.</w:t>
      </w:r>
    </w:p>
    <w:p>
      <w:r>
        <w:rPr>
          <w:b/>
        </w:rPr>
        <w:t>E. 7</w:t>
      </w:r>
    </w:p>
    <w:p>
      <w:r>
        <w:t>Entsprechend dem Ausgang des Verfahrens sind dem Beschwerdeführer ermässigte Verfahrenskosten aufzuerlegen und mit dem geleisteten Kostenvorschuss zu verrechnen (Art. 63 Abs. 1 VwVG, Art. 1, 2 und 3 Bst. b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