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C-2486/2009 vom 17. Mai 2010</w:t>
      </w:r>
    </w:p>
    <w:p>
      <w:r>
        <w:t>Bundesverwaltungsgericht, 2010-05-17, IT</w:t>
      </w:r>
    </w:p>
    <w:p>
      <w:r>
        <w:rPr>
          <w:b/>
        </w:rPr>
        <w:t xml:space="preserve">Quelle: </w:t>
      </w:r>
      <w:r>
        <w:t>https://mcp.opencaselaw.ch/entscheid/bvger_C-2486_2009</w:t>
      </w:r>
    </w:p>
    <w:p>
      <w:r>
        <w:t>FR: TAF C-2486/2009 du 17 mai 2010</w:t>
      </w:r>
    </w:p>
    <w:p>
      <w:r>
        <w:t>IT: TAF C-2486/2009 del 17 maggio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di Fr. 300.-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Il periodo di cognizione giudiziaria dello scrivente Tribunale amministrativo federale si estende fino al 27 febbraio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essere invalido ai sensi della legge svizzera;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Per gli art. 5 LAI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7.1</w:t>
      </w:r>
    </w:p>
    <w:p>
      <w:r>
        <w:t>Per quanto risulta dagli atti, l'interessata non ha più lavorato dopo il rimpatrio e si è dedicata ai lavori della propria economia domestica.</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w:t>
      </w:r>
    </w:p>
    <w:p>
      <w:r>
        <w:rPr>
          <w:b/>
        </w:rPr>
        <w:t>E. 7.3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w:t>
      </w:r>
    </w:p>
    <w:p>
      <w:r>
        <w:rPr>
          <w:b/>
        </w:rPr>
        <w:t>E. 7.4</w:t>
      </w:r>
    </w:p>
    <w:p>
      <w:r>
        <w:t>In carenza di documentazione economica, la documentazione medica costituisce un importante elemento di giudizio per determinare quali lavori siano ancora ragionevolmente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8.1</w:t>
      </w:r>
    </w:p>
    <w:p>
      <w:r>
        <w:t>Nel caso di specie, la ricorrente soffre essenzialmente di un diabete mellito di tipo II non sempre compensato, un'obesità importante, un'ipertensione arteriosa (legata all'obesità) presente da molto tempo (25 anni almeno), note di poliartrosi (essenzialmente cliniche) ed una sindrome ansio-depressiva (cfr. perizia medica particolareggiata del 16 luglio 2008, doc. 13).</w:t>
      </w:r>
    </w:p>
    <w:p>
      <w:r>
        <w:rPr>
          <w:b/>
        </w:rPr>
        <w:t>E. 8.2</w:t>
      </w:r>
    </w:p>
    <w:p>
      <w:r>
        <w:t>Per quanto concerne le conseguenze invalidanti delle menzionate affezioni, il medico dell'INPS pone un tasso d'invalidità del 70% (doc. 13). Dal canto loro, i medici dell'UAIE, Dott.ri Battaglia e Lehmann, escludono un'incapacità al lavoro di livello pensionabile come casalinga e, abbondanzialmente, anche come operaia in un settore leggero (doc. 15, 20, 26).</w:t>
      </w:r>
    </w:p>
    <w:p>
      <w:r>
        <w:rPr>
          <w:b/>
        </w:rPr>
        <w:t>E. 8.3</w:t>
      </w:r>
    </w:p>
    <w:p>
      <w:r>
        <w:t>Secondo il collegio giudicante, le patologie in atto, oggettivamente, non assumono carattere invalidante. Il diabete mellito, presente da diversi anni (senza dubbio prima del 2005) ha accusato un episodio di scompenso nell'aprile 2008 ciò che ha necessitato un ricovero ospedaliero per 7 giorni. Questa degenza, più che altro, ha avuto lo scopo di meglio centrare la cura di tale turba, fino allora poco o mal seguita. Questa patologia è adeguatamente sottoposta a controllo da un centro specializzato che ne cura l'evoluzione e ne adegua la terapia. Tuttavia, l'affezione in parola si trova ad uno stadio ancora lieve. La stessa non ha ancora provocato quelle disfunzioni, a volte gravi, legate a questa. In particolare, l'apparato cardiocircolatorio è funzionalmente utile; non sono presenti cardiopatie e/o turbe della repolarizzazione e/o malattie specifiche derivanti dal diabete. L'apparato di ricambio (reni e vescica) e la vista, anche questi organi sensibili a patologie diabetiche, non presentano anomalie. Non è stata dimostrata alcuna presenza di una retinopatia diabetica e, in ogni caso, il visus (corretto) è funzionalmente utile (cfr. doc. 13, perizia medica particolareggiata). L'ipertensione arteriosa, da quel che risulta dalla certificazione esibita, è tenuta sotto controllo farmacologico (cfr. anche la certificazione del Dott. Carbone, doc. 17, 18). Peraltro quest'ultimo disturbo è da ascrivere, più che al diabete, al notevole sovrappeso dell'assicurata. In questo senso, una migliore cura del sistema metabolico apparirebbe indicata, ciò che non sembra sia il caso in corso per la nominata. Per il resto, l'assicurata soffre di leggeri problemi artrosici, individuabili essenzialmente a livello clinico. Vero è che l'apparato locomotorio appare piuttosto limitato nei movimenti e contratturato, nonché spinalgico. Ma, come scritto prima, la limitazione funzionale ed altri problemi di ipomobilità generali sono da imputare al sovrappeso importante e debilitante. Non per questo, l'obesità, nella fattispecie, potrebbe giustificare il riconoscimento di un'invalidità di rilievo. In proposito il Tribunale federale ha precisato che in sé l'obesità non è costitutiva d'invalidità. Si può ammettere l'esistenza di un'invalidità solo se l'eccesso di peso ha provocato oppure è stato causato da un danno alla salute e per questa ragione la capacità di guadagno (o di attendere alle usuali faccende domestiche) è notevolmente ridotta e non può essere aumentata per il tramite di provvedimenti ragionevolmente esigibili (RCC 1984 p. 359, sentenza del Tribunale federale I 757/06 del 5 giugno 2007, consid. 5.1). Infine, l'assicurata soffre anche di una non meglio investigata sindrome ansiosa. Ciò non sembra costituire la patologia più importante in esame. Trattasi di turbe dell'umore che sono attualmente trattate farmacologicamente (cfr. anche certificato del neurologo Dott. Carbone del 3 ottobre 2008, doc. 18). Queste non costituiscono un impedimento nel regolare adempimento delle incombenze domestiche.</w:t>
      </w:r>
    </w:p>
    <w:p>
      <w:r>
        <w:rPr>
          <w:b/>
        </w:rPr>
        <w:t>E. 8.4</w:t>
      </w:r>
    </w:p>
    <w:p>
      <w:r>
        <w:t>Vero è che l'interessata, nell'apposito formulario per gli assicurati occupati nell'economia domestica (doc. 8) ha affermato di non essere in grado di svolgere praticamente nessuno dei lavori di casa. Tale affermazione non può tuttavia assurgere alla dignità di prova dal momento che riflette la posizione unilaterale della stessa ed è smentita dalle risultanze mediche oggettive ad atti.</w:t>
      </w:r>
    </w:p>
    <w:p>
      <w:r>
        <w:rPr>
          <w:b/>
        </w:rPr>
        <w:t>E. 8.5</w:t>
      </w:r>
    </w:p>
    <w:p>
      <w:r>
        <w:t>Va infine rilevato, a titolo puramente abbondanziale, che l'assicurata non presenterebbe alcuna invalidità di livello pensionabile nemmeno se fosse considerata operaia in settori semplici e leggeri. In questo senso, i medici dell'UAIE hanno osservato che la nominata potrebbe svolgere tali compiti in misura in ogni caso superiore al 60%. In queste circostanze il ricorso deve essere respinto e l'impugnata decisione confermata.</w:t>
      </w:r>
    </w:p>
    <w:p>
      <w:r>
        <w:rPr>
          <w:b/>
        </w:rPr>
        <w:t>E. 9.1</w:t>
      </w:r>
    </w:p>
    <w:p>
      <w:r>
        <w:t>A titolo di spese ricorsuali si prelevano Fr. 300.-, che vengono compensate con l'anticipo di uguale importo versato dalla ricorrente.</w:t>
      </w:r>
    </w:p>
    <w:p>
      <w:r>
        <w:rPr>
          <w:b/>
        </w:rPr>
        <w:t>E. 9.2</w:t>
      </w:r>
    </w:p>
    <w:p>
      <w:r>
        <w:t>Visto l'esito del ricorso, 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il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