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C-2485/2009 vom 15. September 2010</w:t>
      </w:r>
    </w:p>
    <w:p>
      <w:r>
        <w:t>Bundesverwaltungsgericht, 2010-09-15, IT</w:t>
      </w:r>
    </w:p>
    <w:p>
      <w:r>
        <w:rPr>
          <w:b/>
        </w:rPr>
        <w:t xml:space="preserve">Quelle: </w:t>
      </w:r>
      <w:r>
        <w:t>https://mcp.opencaselaw.ch/entscheid/bvger_C-2485_2009</w:t>
      </w:r>
    </w:p>
    <w:p>
      <w:r>
        <w:t>FR: TAF C-2485/2009 du 15 septembre 2010</w:t>
      </w:r>
    </w:p>
    <w:p>
      <w:r>
        <w:t>IT: TAF C-2485/2009 del 15 settembre 2010</w:t>
      </w:r>
    </w:p>
    <w:p>
      <w:pPr>
        <w:pStyle w:val="Heading2"/>
      </w:pPr>
      <w:r>
        <w:t>Regeste</w:t>
      </w:r>
    </w:p>
    <w:p>
      <w:r>
        <w:t>Assicurazione per l'invalidità (AI)</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i cittadini di uno Stato membro della Comunità europea, ivi risiedenti, ed i cittadini svizzeri (art. 2 e 3 del Regolamento CEE n° 1408/71).</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ancora precisato che la presente procedura è retta dalla LAI nel suo tenore modificato il 6 ottobre 2006 (V revisione) ed in vigore dal 1° gennaio 2008, ritenuto tuttavia il principio secondo il quale le norme applicabili sono quelle in vigore al momento in cui dei fatti giuridicamente rilevanti si sono verificati (DTF 130 V 445 consid. 1.2).</w:t>
      </w:r>
    </w:p>
    <w:p>
      <w:r>
        <w:rPr>
          <w:b/>
        </w:rPr>
        <w:t>E. 4</w:t>
      </w:r>
    </w:p>
    <w:p>
      <w:r>
        <w:t>Il ricorrente contesta la validità materiale della decisione dell'UAIE, chiedendo che gli sia riconosciuto il diritto ad una rendita intera d'invalidità o, a titolo sussidiario, di grado inferiore.</w:t>
      </w:r>
    </w:p>
    <w:p>
      <w:r>
        <w:rPr>
          <w:b/>
        </w:rPr>
        <w:t>E. 5</w:t>
      </w:r>
    </w:p>
    <w:p>
      <w:r>
        <w:t>Secondo le norme applicabili, per avere diritto ad una rendita dell'assicurazione invalidità svizzera, un cittadino italiano deve adempiere, cumulativamente, le seguenti condizioni: - essere invalido ai sensi della legge svizzera; - avere versato contributi all'AVS/AI svizzera durante almeno 3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In concreto, è pacifico che il ricorrente adempie la condizione della durata minima di contribuzione, alla quale la legge subordina l'erogazione di una rendita. Rimane ora da esaminare se sia invalido ai sensi di legge.</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7</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8.1</w:t>
      </w:r>
    </w:p>
    <w:p>
      <w:r>
        <w:t>In concreto, dall'insieme della documentazione medica agli atti e, in particolare, dalle perizie E 213 del dott. B._______ e della dott.ssa E._______, medici dell'INPS, del 15 aprile, rispettivamente del 6 novembre 2008, e dal rapporto del dott. C._______, medico dell'UAIE, del 18 dicembre 2008 (doc. 22), risulta la diagnosi di lombosciatalgia con sindrome radicolare a livello di S1 a sinistra, di esiti da operazione di un'ernia del disco L5-S1, di BPCO di grado leggero, d'ipertensione e di cardiopatia ipertensiva. Visto il carattere univoco di questa diagnosi, del resto non contestata dal ricorrente, il collegio giudicante non ha nessun motivo per scostarsene.</w:t>
      </w:r>
    </w:p>
    <w:p>
      <w:r>
        <w:rPr>
          <w:b/>
        </w:rPr>
        <w:t>E. 8.2</w:t>
      </w:r>
    </w:p>
    <w:p>
      <w:r>
        <w:t>Per costante giurisprudenza, le affezioni appena menzionate sono di carattere labile, ossia suscettibili di migliorare o di peggiorare. Così, nell'assenza di uno stato di salute sufficientemente stabilizzato, il ricorrente potrebbe pretendere una rendita dell'assicurazione svizzera per l'invalidità solo a partire dal momento in cui abbia subito, senza interruzione notevole, un'incapacità lavorativa di almeno il 40% durante un anno (art. 28 cpv. 1 lett. b LAI) e, al termine di questo anno, sia invalido almeno al 40% (art. 28 cpv. 1 lett. c LAI).</w:t>
      </w:r>
    </w:p>
    <w:p>
      <w:r>
        <w:rPr>
          <w:b/>
        </w:rPr>
        <w:t>E. 8.3</w:t>
      </w:r>
    </w:p>
    <w:p>
      <w:r>
        <w:t>Rispetto all'influenza delle dette affezioni sulla capacità lavorativa del ricorrente, nelle perizie E 213 del dott. B._______ e della dott.ssa E._______ è riportato, secondo il diritto italiano, un grado d'invalidità del 50% per l'ultima attività svolta o per altre attività confacenti, la dott.ssa E._______ avendo inoltre specificato che l'orario di lavoro giornaliero massimo è di tre o quattro ore. Nel referto di visita ortopedica del 5 novembre 2008 (doc. 28), è stato inoltre specificato che il rachide è spinalgico a livello lombare, con lieve accentuazione della cifosi dorsale, che le escursioni del distretto lombosacrale sono limitate solo ai gradi estremi, che le escursioni delle scapolo-omerali sono nei limiti, con conservazione della forza prensile, che il trofismo muscolare agli arti superiori è nei limiti, mentre è leggermente ridotto agli arti inferiori, che la manovra di Lasègue è positiva solo ai gradi estremi a sinistra e che la deambulazione è sufficientemente spedita, con accosciamento possibile fino ai gradi estremi e prudente recupero dell'ortostasi. Dal canto suo, il dott. C._______ ha considerato, nel suo rapporto del 18 dicembre 2008, che la capacità lavorativa è completa per l'attività d'operaio logistico. Egli ha sottolineato, riferendosi in particolare al referto di visita ortopedica del 5 novembre 2008 (doc. 28), che il ricorrente, dopo l'intervento d'erniectomia discale L4-L5 nel 1996, non ha beneficiato di cure fisioterapiche, che la presa di medicamenti antalgici avviene in modo irregolare ed occasionale, e che gli esiti del detto intervento hanno un'incidenza di grado lieve-moderato. In questa sede, il ricorrente ha esibito nuovi documenti medici, riferenti, sostanzialmente, la diagnosi di piccola ernia discale foraminale in L4-5, di cardiopatia ipertensiva, di spondilodiscoartrosi e di BPCO. Pronunciandosi in proposito con rapporto del 16 giugno 2009 (doc. 38), il dott. D._______, medico dell'UAIE, ha considerato che la diagnosi di piccola ernia discale L4-5 è compatibile con i problemi conosciuti d'ipodisestesia ("Sensibilitätsstörungen") del ricorrente, e, basandosi sul rapporto ortopedico del 5 novembre 2008, ha sottolineato che può essere esclusa una compressione del nervo ischiatico clinicamente rilevante. Il medico dell'UAIE ha inoltre osservato che gli ulteriori elementi diagnostici di cardiopatia ipertensiva con relativa terapia medicamentosa, di spondilodiscoartrosi e di BPCO, erano già conosciuti e sono già stati considerati dal dott. C._______, concludendo che il ricorrente deve essere reputato in grado di svolgere il suo ultimo lavoro in maniera completa almeno fino alla data della decisione impugnata.</w:t>
      </w:r>
    </w:p>
    <w:p>
      <w:r>
        <w:rPr>
          <w:b/>
        </w:rPr>
        <w:t>E. 8.4</w:t>
      </w:r>
    </w:p>
    <w:p>
      <w:r>
        <w:t>Ne discende che il collegio giudicante, tenuto conto dell'intera documentazione medica all'incarto, non può che aderire alla valutazione dei medici dell'UAIE e ritenere il ricorrente capace di continuare ad esercitare il lavoro d'operaio logistico senza alcuna restrizione di natura funzionale.</w:t>
      </w:r>
    </w:p>
    <w:p>
      <w:r>
        <w:rPr>
          <w:b/>
        </w:rPr>
        <w:t>E. 9</w:t>
      </w:r>
    </w:p>
    <w:p>
      <w:r>
        <w:t>Rispetto alla richiesta di mezzi di prova formulata dal ricorrente, se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DTF 122 II 469, 122 III 223, 119 V 344). Un tale modo di procedere non lede il diritto di essere sentito, garantito dall'art. 29 cpv. 2 della Costituzione federale della Confederazione svizzera del 18 aprile 1999 (Cost, RS 101; Sozialversicherungsrecht, Rechtsprechung [SVR] 2001, IV, n. 10; riguardo al previgente art. 4 cpv. 1 v. Cost., cfr. DTF 124 V 94, 122 V 162 e 119 V 344). In concreto, il collegio giudicante è del parere che la documentazione agli atti è sufficiente per statuire nel merito, per cui le richieste probatorie non possono essere soddisfatte.</w:t>
      </w:r>
    </w:p>
    <w:p>
      <w:r>
        <w:rPr>
          <w:b/>
        </w:rPr>
        <w:t>E. 10</w:t>
      </w:r>
    </w:p>
    <w:p>
      <w:r>
        <w:t>È necessario a questo punto ricordare che, secondo un principio generale del diritto delle assicurazioni sociali, ogni assicurato ha l'obbligo di ridurre il danno conseguente alla sua invalidità (sentenza del Tribunale federale I 147/01 del 9 maggio 2001; DTF 123 V 230 consid. 3c e DTF 117 V 275 consid. 2b). In virtù di tale obbligo, l'assicurato deve intraprendere tutto quanto sia ragionevolmente esigibile per ovviare nel modo migliore possibile alle conseguenza della sua invalidità, segnatamente mettendo a profitto la sua residua capacità lavorativa, se necessario in una nuova professione (sentenza del Tribunale federale I 543/03 del 27 agosto 2004; DTF 113 V 22 consid. 4a).</w:t>
      </w:r>
    </w:p>
    <w:p>
      <w:r>
        <w:rPr>
          <w:b/>
        </w:rPr>
        <w:t>E. 11</w:t>
      </w:r>
    </w:p>
    <w:p>
      <w:r>
        <w:t>Di conseguenza, la decisione impugnata del 3 marzo 2009 deve essere confermata e il ricorso respinto.</w:t>
      </w:r>
    </w:p>
    <w:p>
      <w:r>
        <w:rPr>
          <w:b/>
        </w:rPr>
        <w:t>E. 12</w:t>
      </w:r>
    </w:p>
    <w:p>
      <w:r>
        <w:t>Secondo l'art. 63 cpv. 1 PA, le spese processuali sono di regola messe a carico della parte soccombente. In concreto, visto l'esito della procedura, le spese processuali sono poste a carico del ricorrente e compensate con l'anticipo versato il 9 settembre 2009. In conformità con l'art. 64 cpv. 1 PA, l'autorità di ricorso, se ammette il ricorso in tutto o in parte, può assegnare al ricorrente una indennità per le spese indispensabili e relativamente elevate che ha sopportato (spese ripetibili). Considerato l'esito della procedura, non si assegnano al ricorrente indennità per spese ripetibili.</w:t>
      </w:r>
    </w:p>
    <w:p>
      <w:r>
        <w:rPr>
          <w:b/>
        </w:rPr>
        <w:t>E. 13</w:t>
      </w:r>
    </w:p>
    <w:p>
      <w:r>
        <w:t>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