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C-2482/2009 vom 28. Januar 2011</w:t>
      </w:r>
    </w:p>
    <w:p>
      <w:r>
        <w:t>Bundesverwaltungsgericht, 2011-01-28, DE</w:t>
      </w:r>
    </w:p>
    <w:p>
      <w:r>
        <w:rPr>
          <w:b/>
        </w:rPr>
        <w:t xml:space="preserve">Quelle: </w:t>
      </w:r>
      <w:r>
        <w:t>https://mcp.opencaselaw.ch/entscheid/bvger_C-2482_2009</w:t>
      </w:r>
    </w:p>
    <w:p>
      <w:r>
        <w:t>FR: TAF C-2482/2009 du 28 janvier 2011</w:t>
      </w:r>
    </w:p>
    <w:p>
      <w:r>
        <w:t>IT: TAF C-2482/2009 del 28 gennaio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einzutreten, soweit sie durch die Löschung der Aus­schreibung des Einreiseverbots im SIS (sie erging wie die ursprüng­liche Ausschreibung nicht in Verfügungsform) nicht gegenstandslos geworden ist (siehe Rechtsbegehren 1 - 3 der Beschwerdeschrift vom 17. April 2009, ferner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Das Bundesverwaltungsgericht hat die im Rechtsmittelverfahren im Sinne einer Beweisofferte beantragte Befragung der slowakischen Ehefrau als Zeugin mit Zwischenverfügung vom 8. Mai 2009 abgewiesen. Der Beschwerdeführer erhielt aber Gelegenheit, schriftliche Äusserungen besagter Person zu den aufgeworfenen Fragen (insbesondere zur Gestaltung des künftigen Ehelebens) nachzureichen, was geschah (zur antizipierten Beweiswürdigung vgl. Art. 33 Abs. 1 VwVG, BGE 136 I 229 E. 5.3 S. 236 f. mit Hinweisen oder Urteil des Bundesgerichts 1C_460/2008 vom 3. Februar 2009 E. 3.1; zur Subsidiarität der Zeugeneinvernahme: Urteil des Bundesgerichts 1C_427/2008 vom 2. Februar 2009 E. 2.2). Der entscheidswesentliche Sachverhalt ergibt sich denn, wie nachfolgend aufzuzeigen sein wird, in genügender Weise aus den Akten.</w:t>
      </w:r>
    </w:p>
    <w:p>
      <w:r>
        <w:rPr>
          <w:b/>
        </w:rPr>
        <w:t>E. 4.1</w:t>
      </w:r>
    </w:p>
    <w:p>
      <w:r>
        <w:t>Mit Inkrafttreten des AuG am 1. Januar 2008 wurde das ANAG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-vorbehältlich des Vertrauensschutzprinzips - grundsätzlich zulässig ist (vgl. Ulrich Häfelin/Georg Müller/Felix Uhlmann, All­gemeines Ver­waltungsrecht, 5. Aufl., Zürich/Basel/Genf/St. Gallen 2006, Rz. 337 ff. sowie BVGE 2009/3 E. 3.2).</w:t>
      </w:r>
    </w:p>
    <w:p>
      <w:r>
        <w:rPr>
          <w:b/>
        </w:rPr>
        <w:t>E. 4.2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(bezogen auf die Situation des Be­schwerdeführers siehe allerdings E. 5.1 - 5.3 weiter unten).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Wie sich dem Sachverhalt ent­nehmen lässt, hat die Vorinstanz die SIS-Ausschreibung im konkreten Fall in der Zwischenzeit revoziert.</w:t>
      </w:r>
    </w:p>
    <w:p>
      <w:r>
        <w:rPr>
          <w:b/>
        </w:rPr>
        <w:t>E. 5.1</w:t>
      </w:r>
    </w:p>
    <w:p>
      <w:r>
        <w:t>Der Beschwerdeführer ist serbischer Staatsangehöriger und mit einer Slowakin verheiratet. Er ist folglich der Ehegatte einer Staats­angehörigen eines Mitgliedstaates der Europäischen Gemeinschaft (EG). Nach Art. 2 Abs. 2 AuG gelangt dieses Gesetz für Staats­angehörige der Mitgliedstaaten der EG und ihre Familienangehörigen nur soweit zur Anwendung, als das Abkommen vom 21. Juni 1999 zwischen der Schweizerischen Eidgenossenschaft einerseits und der Europäischen Gemeinschaft und ihren Mitgliedstaaten andererseits über die Freizügigkeit (Freizügigkeitsabkommen [FZA], SR 0.142.112.681) keine abweichende Regelung kennt oder die ordent­liche Ausländergesetzgebung ihnen eine vorteilhaftere Rechtsstellung vermittelt (vgl. Urteil des Bundesverwaltungsgerichts C-7642/2007 vom 23. Dezember 2009 E. 3.2 mit Hinweisen).</w:t>
      </w:r>
    </w:p>
    <w:p>
      <w:r>
        <w:rPr>
          <w:b/>
        </w:rPr>
        <w:t>E. 5.2</w:t>
      </w:r>
    </w:p>
    <w:p>
      <w:r>
        <w:t>Familienangehörige (so die Ehegattin und der Ehegatte) von Bürgerinnen und Bürgern der EU mit Drittstaatsangehörigkeit haben gestützt auf das FZA gewisse derivative Rechte. Insbesondere ist ihnen erlaubt, ihrem jeweiligen Ehepartner, der seinerseits vom Freizügigkeitsrecht Gebrauch gemacht hat, in den Aufnahmemitgliedstaat zu folgen, um bei ihm Wohnung zu nehmen bzw. sich dort niederzulassen (Art. 3 FZA i.V.m. Art. 3 Abs. 1 Anhang I FZA; zum Ganzen siehe BGE 136 II 5 E. 3.2 - 3.7 S. 11 ff.). Über das Gesuch des Beschwerdeführers um Verlängerung der Aufenthaltsbewilligung hat das Bundesgericht hier allerdings bereits in letzter Instanz be­funden. Von der Ehe des Betroffenen mit einer in der Schweiz nieder­gelassenen slowakischen Staatsangehörigen hatte es hierbei Kenntnis (siehe das entsprechende Urteil 2C_425/2008 vom 27. Januar 2009).</w:t>
      </w:r>
    </w:p>
    <w:p>
      <w:r>
        <w:rPr>
          <w:b/>
        </w:rPr>
        <w:t>E. 5.3</w:t>
      </w:r>
    </w:p>
    <w:p>
      <w:r>
        <w:t>Ausgehend vom Verfahrensgegenstand stellt sich die Frage der Anwendbarkeit des FZA und der Beschränkung der Freizügigkeitsrechte indessen nicht nur unter dem Blickwinkel des Rechts auf Aufenthalt und Erwerbstätigkeit, sondern vor allem unter demjenigen des Rechts auf freie Ein- und Ausreise (Art. 3 FZA i.V.m. Art. 1 Abs. 1 Anhang I FZA). Als slowakische Staatsangehörige hat die Ehefrau des Beschwerdeführers ein (originäres) Recht auf Einreise in die anderen Vertragsstaaten unter blosser Vorlage eines gültigen Personalausweises oder Reisepasses, sie kann beispielsweise jederzeit als Besucherin oder Dienstleistungsempfängerin (Touristin) in die Schweiz einreisen (vgl. BGE 131 II 352 E. 1.2.1 S. 354). Ein Einreisevisum oder ein gleichwertiger Nachweis dürfen nicht verlangt werden. Aufgrund der bisherigen Ausführungen ist davon auszugehen, dass Ehegatten von Staatsangehörigen der Vertragsstaaten ebenfalls ein derivatives Recht zukommt, ihrem EU-Partner auf solchen Reisen zu folgen (vgl. etwa Art. 1 Abs. 1 Anhang I FZA oder BGE 136 II 5 E. 3.6.3 und 3.6.4 S. 16 f.). Die Zulässigkeit nationaler Massnahmen, die - wie das Einreiseverbot gemäss Art. 67 AuG - die Ausübung von Freizügigkeitsrechten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und auf die einschlägige Rechtsprechung des Gerichtshofes der Europäischen Gemeinschaften (nachfolgend EuGH) vor dem Zeitpunkt der Unterzeichnung (vgl. Art. 5 Abs. 2 Anhang I FZA i.V.m. Art. 16 Abs. 2 FZA; BGE 131 II 352 E. 3.1 S. 357 mit Hinweis). Der Beschwerdeführer hat wie erwähnt ein - abgeleitetes - Recht auf jederzeitige freie Einreise zwecks Begleitung seiner Ehefrau. Er kann sich daher jedenfalls insoweit auf das FZA berufen, als ihn das Einreiseverbot im Hinblick auf die mögliche Ausübung der Freizügigkeitsrechte durch seine Gattin in seiner Position einschränkt (siehe Urteil des Bundesverwaltungsgerichts C-7058/2009 vom 25. August 2010 E. 7.1).</w:t>
      </w:r>
    </w:p>
    <w:p>
      <w:r>
        <w:rPr>
          <w:b/>
        </w:rPr>
        <w:t>E. 6.1</w:t>
      </w:r>
    </w:p>
    <w:p>
      <w:r>
        <w:t>In einem ersten Schritt ist zu prüfen, ob das Landesrecht ein Ein­reiseverbot gegen einen Ausländer zulässt, der sich in gleicher Weise wie der Beschwerdeführer verhalten hat.</w:t>
      </w:r>
    </w:p>
    <w:p>
      <w:r>
        <w:rPr>
          <w:b/>
        </w:rPr>
        <w:t>E. 6.2</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weswegen sich für den Beschwerdeführer im Ergebnis nichts ändert.</w:t>
      </w:r>
    </w:p>
    <w:p>
      <w:r>
        <w:rPr>
          <w:b/>
        </w:rPr>
        <w:t>E. 6.3</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6.4</w:t>
      </w:r>
    </w:p>
    <w:p>
      <w:r>
        <w:t>Der Beschwerdeführer wurde mehrfach straffällig. Zuletzt verurteilte ihn das Bezirksgericht Zürich am 15. Juli 2004 wegen Gefährdung des Lebens, Drohung, mehrfacher Widerhandlung gegen das Waffengesetz sowie Übertretung gegen das Waffengesetz zu einer Zuchthausstrafe von zweieinhalb Jahren. Insgesamt resultierte ein Freiheitsentzug von drei Jahren. Die in Frage stehenden Rechtsgüterverletzungen, insbesondere die Delikte gegen Leib und Leben, wiegen schwer. Dementsprechend hat das Strafgericht das Verschulden des Beschwerdeführers als erheblich taxiert. Hinzu kommt eine Vorstrafe aus dem Jahre 1996, die ebenfalls Gewaltdelikte zum Gegenstand hatte (siehe aber E. 8.3 hiernach). Die Voraussetzungen von Art. 67 Abs. 2 Bst. a AuG sind somit zweifelsohne erfüllt. Die Anordnung eines Einreiseverbots durch die Vorinstanz ist daher im Lichte des nationalen Rechts grundsätzlich nicht zu be­anstanden.</w:t>
      </w:r>
    </w:p>
    <w:p>
      <w:r>
        <w:rPr>
          <w:b/>
        </w:rPr>
        <w:t>E. 7</w:t>
      </w:r>
    </w:p>
    <w:p>
      <w:r>
        <w:t>In einem nächsten Schritt ist zu prüfen, ob das Einreiseverbot vor dem Freizügigkeitsabkommen standhält resp. ob die Tatbestandsvoraus­setzungen eines Einreiseverbots auch nach Massgabe des Freizügig­keitsabkommens erfüllt sind.</w:t>
      </w:r>
    </w:p>
    <w:p>
      <w:r>
        <w:rPr>
          <w:b/>
        </w:rPr>
        <w:t>E. 7.1</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136 II 5 E. 4.2 S. 20,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(vgl. BGE 136 II 5 E. 4.2 S. 20 mit Hinweisen).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7.2</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131 II 352 E. 3.3 S. 358, 130 II 493 E. 3.3 S. 499 f., 130 II 176 E. 4.3.1 S. 185 f.; Urteil des Bundesverwaltungsgerichts C-2662/2007 vom 14. März 2008 E. 7.2).</w:t>
      </w:r>
    </w:p>
    <w:p>
      <w:r>
        <w:rPr>
          <w:b/>
        </w:rPr>
        <w:t>E. 7.3</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w:t>
      </w:r>
    </w:p>
    <w:p>
      <w:r>
        <w:rPr>
          <w:b/>
        </w:rPr>
        <w:t>E. 7.4</w:t>
      </w:r>
    </w:p>
    <w:p>
      <w:r>
        <w:t>Der Beschwerdeführer hat mit dem abgeurteilten Verhalten ein beträchtliches Mass an krimineller Energie unter Beweis gestellt. Dem vom Obergericht des Kantons Zürich bestätigten Urteil des Bezirks­gerichts Zürich vom 15. Juli 2004 lag der Sachverhalt zu Grunde, dass der Verurteilte bzw. dessen nächste Familienangehörigen vom Ge­schädigten massiv beleidigt worden waren, worauf der Beschwerde­führer die Situation einige Tage später mittels Schusswaffeneinsatzes klären wollte. Indem er aus relativ geringer Distanz einen Schuss auf den Betroffenen abgab, brachte er seinen Kontrahenten in Lebens­gefahr. Als bedenklich wertete das Strafgericht vor allem, wie intensiv der Beschwerdeführer sein Ziel am Tattag verfolgt habe. Auch den gewalttätigen Handlungen, derentwegen er vom Bezirksgericht Frauenfeld am 6. Dezember 1996 (u.a. wegen einfacher Körperver­letzung) für schuldig befunden worden ist, gingen Beleidigungen voraus. Damals wurde er aus mehr oder weniger nichtigem Anlass gegenüber einem Arbeitskollegen handgreiflich. Konkret fügte er dem Opfer anlässlich einer Auseinandersetzung am Arbeitsplatz mit einem harten Gegenstand eine Platzwunde am Kopf zu, was bei Letzterem eine zehntägige Arbeitsunfähigkeit nach sich zog. Aufgrund des Gesagten - negativ ins Gewicht fällt im vorliegenden Zusammenhang in allererster Linie das Strafurteil aus dem Jahre 2004 - ist von erheblichen Gefährdungen der betroffenen Rechtsgüter aus­zugehen, wobei hier besonders schützenswerte Rechtsgüter auf dem Spiel stehen, die Grundinteressen der Gesellschaft berühren (vgl. BGE 131 II 352 E. 4.3.1 S. 359 f. und BGE 125 II 521 E. 4a/aa S. 526 f.). Bei einem solchen Verhaltensmuster kann die Gefahr, dass der Be­schwerdeführer in ähnlicher Ausgangslage wiederum mit Gewalt reagiert, keineswegs als gebannt betrachtet werden. Was die künftigen Prognosen anbelangt, gilt es sodann klarzustellen, dass für die Be­rechnung der Dauer des klaglosen Verhaltens nicht auf den Be­gehungs- oder Urteilszeitpunkt abzustellen ist. Von vorrangiger Be­deutung ist stattdessen, wie lange sich eine straffällig gewordene Person nach ihrer Entlassung aus der Haft in Freiheit bewährt hat (vgl. BVGE 2008/24 E. 6.2). Die Entlassung des Beschwerdeführers aus dem Strafvollzug erfolgte im Mai 2005. Mit Blick auf die von ihm ver­letzten Rechtsgüter erweist sich die seit seiner Haftentlassung ab­gelaufene Bewährungszeit mithin als zu kurz, als dass bereits eine grundlegende und gefestigte Wandlung angenommen werden kann (vgl. BGE 130 II 493 E. 5 S. 504). Bei dieser Sachlage erscheint es durchaus gerechtfertigt, von einer aktuellen, tatsächlichen und hin­reichend schweren Gefährdung im Sinne des Gemeinschaftsrechts in seiner Auslegung durch den EuGH aus­zugehen.</w:t>
      </w:r>
    </w:p>
    <w:p>
      <w:r>
        <w:rPr>
          <w:b/>
        </w:rPr>
        <w:t>E. 8.1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8.2</w:t>
      </w:r>
    </w:p>
    <w:p>
      <w:r>
        <w:t>Dass vom Beschwerdeführer eine aktuelle, tatsächliche und er­hebliche Gefahr in einem sensiblen Bereich der öffentlichen Ordnung und Sicherheit ausgeht, wurde unter dem Gesichtspunkt der Eingriffs­voraussetzungen ausführlich dargelegt. Auf Wiederholungen kann an dieser Stelle verzichtet werden. Es bedarf keiner näheren Erläuterung, dass das Einreiseverbot eine geeignete und erforderliche Massnahme darstellt, um diese Gefahr abzuwehren. Was die Verhältnismässigkeit im engen Sinne, d.h. die Ausgewogenheit von Eingriffszweck und Eingriffswirkung anbelangt, gilt es sodann festzuhalten, dass das vom Beschwerdeführer ausgehende Gefährdungspotenzial beträchtlich er­scheint. Angesichts seines Beweggrundes für die beiden gravierendsten Taten kann eine Wiederholungsgefahr vorderhand nicht ausgeschlossen werden. Überdies hat er sich, wie an anderer Stelle dargetan (vgl. E. 7.4 hiervor), noch zu wenig lange bewährt. Insoweit besteht daher auch unter dem Blickwinkel der Verhältnismässigkeit nach wie vor ein gewichtiges öffentliches Interesse an seiner Fern­haltung.</w:t>
      </w:r>
    </w:p>
    <w:p>
      <w:r>
        <w:rPr>
          <w:b/>
        </w:rPr>
        <w:t>E. 8.3</w:t>
      </w:r>
    </w:p>
    <w:p>
      <w:r>
        <w:t>Zu Gunsten des Beschwerdeführers lässt sich in dieser Hinsicht derweil anführen, dass er sich seit der bedingten Entlassung aus dem Strafvollzug, also während nunmehr rund fünf Jahren, wohl verhalten hat (vgl. dazu Urteil des Bundesverwaltungsgerichts C-2980/2009 vom 1. März 2010 E. 8 in analogiam). Die letzte Verurteilung datiert vom 15. Juli 2004 (Tatbegehung: Sommer 2003). Die übrigen Straftaten stellen entweder zu geringfügige Vergehen dar oder sie liegen, wie die vom Bezirksgericht Frauenfeld am 6. Dezember 1996 geahndeten Delikte, zeitlich schon weit zurück. Zwar handelte es sich bei dem länger zurückliegenden Gewaltdelikt ebenfalls um eine Straftat mit einer gewissen Schwere, das nicht leicht zu nehmen ist. Wie eben dargetan, ist der Beschwerdeführer seit der Haftentlassung im Mai 2005 aber nicht mehr straffällig geworden, so dass dem fraglichen Vorfall zumindest für die Begründung des Fortbestandes des Ein­reiseverbots nurmehr marginale Bedeutung zukommen kann. Mitzuberücksichtigen sind ferner der mit 18 Jahren relativ lange Auf­enthalt in der Schweiz und die gute berufliche Integration hierzulande. Der Beschwerdeführer war Geschäftsführer eines eigenen Gipser­unternehmens mit mehreren Angestellten (siehe das in gleicher An­gelegenheit ergangen Urteil des Bundesgerichts 2C_425/2008 vom 27. Januar 2009 E. 3.3 oder die Stellungnahme der jetzigen Ehefrau vom 24. Mai 2009). Diese berufliche Integration vermochte ihn seiner­zeit (2003) freilich nicht davon abzuhalten, erneut zu delinquieren. Überdies lebt er seit Längerem in einer stabilen ehelichen Beziehung. Wohl steht ausser Frage, dass ein erhebliches öffentliches Interesse an der Fernhaltung des Betroffenen besteht. Besagtes Interesse ist alles in allem jedoch nicht derart beherrschend, dass sich ihm jedes entgegenstehende Interesse unterordnen müsste.</w:t>
      </w:r>
    </w:p>
    <w:p>
      <w:r>
        <w:rPr>
          <w:b/>
        </w:rPr>
        <w:t>E. 8.4</w:t>
      </w:r>
    </w:p>
    <w:p>
      <w:r>
        <w:t>An persönlichen Interessen macht der Beschwerdeführer geltend, das Einreiseverbot verunmögliche ihm wegen der Ausschreibung des Einreiseverbots im SIS nicht nur ein eheliches Zusammenleben in der Schweiz, sondern auch in der Slowakei, dem Heimatland der zweiten Ehefrau. Letztere beklagt in ihrer Stellungnahme vom 24. Mai 2009 ausserdem, dass die Eheleute den hierzulande aufgebauten Betrieb hätten zurücklassen müssen. Mit der Aufhebung der SIS-Ausschreibung (siehe Sachverhalt Bst. L. vorstehend) ist das Haupt­anliegen der Betroffenen inzwischen hinfällig geworden. Was bleibt, ist das während Jahren in der Schweiz aufgebaute soziale und berufliche Beziehungsgeflecht.Allfällige Einschränkungen des Privat- bzw. Familienlebens des Be­schwerdeführers können vorliegend aufgrund sachlicher und funktioneller Unzuständigkeit des Bundesverwaltungsgerichts nicht Verfahrensgegenstand sein, soweit sie auf das Fehlen eines dauer­haften Aufenthaltsrechts in der Schweiz zurückzuführen sind (vgl. Urteile des Bundesverwaltungsgerichts C-1335/2009 vom 3. Juni 2010 E. 6.3.1, C-4509/2009 vom 7. Januar 2010 E. 7.3 mit Hinweisen oder C-6199/2008 vom 24. August 2008 E. 8.3). Die Erteilung von Aufent­haltsbewilligungen fällt grundsätzlich in die Zuständigkeit der Kantone, wobei im Falle einer Bewilligungserteilung auch das bestehende Ein­reiseverbot aufzuheben wäre (vgl. Urteil des Bundesgerichts 2C_793/2008 vom 27. März 2009 E. 3.2 mit Hinweisen). Dem Be­schwerdeführer wurde die Verlängerung der Aufenthaltsbewilligung durch die Behörden des Kantons Zürich eben erst verweigert. Die Pflege regelmässiger persönlicher oder beruflicher Kontakte zur Schweiz scheitert mithin bereits am fehlenden Anwesenheitsrecht hierzulande. Hinzuweisen wäre überdies auf die Möglichkeit der Suspension der angeordneten Fernhaltemassnahme (Art. 67 Abs. 5 AuG). Unter den aktuellen Begebenheiten wird der Beschwerdeführer durch das Einreiseverbot in seiner Lebensführung demzufolge nicht übermässig beeinträchtigt.</w:t>
      </w:r>
    </w:p>
    <w:p>
      <w:r>
        <w:rPr>
          <w:b/>
        </w:rPr>
        <w:t>E. 8.5</w:t>
      </w:r>
    </w:p>
    <w:p>
      <w:r>
        <w:t>Zusammenfassend lässt sich festhalten, dass auf der einen Seite ein erhebliches, jedoch nicht alles beherrschendes öffentliches Interesse an der Fernhaltung des Beschwerdeführers besteht. Auf der anderen Seite sind private Interessen vorhanden, welche für sich allein aber nicht geeignet sind, gegen das öffentliche Interesse gänzlich durchzudringen und die Massnahme als solche in Frage zu stellen. Zusammen mit dem öffentlichen Interesse an der möglichst unein­geschränkten Verwirklichung der Freizügigkeitsrechte führen sie in­dessen dazu, dass mit Bezug auf die neunjährige Dauer der Mass­nahme der Eingriffszweck und die Eingriffswirkung nicht in einem an­nehmbaren Verhältnis stehen, die Massnahme mit anderen Worten nicht mehr als verhältnismässig im engeren Sinne betrachtet werden kann. Unter Berücksichtigung sämtlicher Umstände und mit Blick auf ähnliche Fälle erscheint es als angemessen, deren Dauer um einen Drittel auf die überblickbare Zeitspanne von sechs Jahren zu be­grenzen.</w:t>
      </w:r>
    </w:p>
    <w:p>
      <w:r>
        <w:rPr>
          <w:b/>
        </w:rPr>
        <w:t>E. 9</w:t>
      </w:r>
    </w:p>
    <w:p>
      <w:r>
        <w:t>Aus diesen Erwägungen folgt, dass das auf neun Jahre bemessene Einreiseverbot Bundesrecht verletzt (vgl. Art. 49 VwVG). Die Beschwerde ist daher teilweise gutzuheissen und das gegen den Be­schwerdeführer verhängte Einreiseverbot auf sechs Jahre, bis zum 30. März 2015, zu befristen.</w:t>
      </w:r>
    </w:p>
    <w:p>
      <w:r>
        <w:rPr>
          <w:b/>
        </w:rPr>
        <w:t>E. 10</w:t>
      </w:r>
    </w:p>
    <w:p>
      <w:r>
        <w:t>Bei diesem Ausgang des Verfahrens sind die ermässigten Verfahrens­kosten dem Beschwerdeführer aufzuerlegen und mit dem geleisteten Kostenvorschuss zu verrechnen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