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C-2480/2011 vom 9. Oktober 2012</w:t>
      </w:r>
    </w:p>
    <w:p>
      <w:r>
        <w:t>Bundesverwaltungsgericht, 2012-10-09, DE</w:t>
      </w:r>
    </w:p>
    <w:p>
      <w:r>
        <w:rPr>
          <w:b/>
        </w:rPr>
        <w:t xml:space="preserve">Quelle: </w:t>
      </w:r>
      <w:r>
        <w:t>https://mcp.opencaselaw.ch/entscheid/bvger_C-2480_2011</w:t>
      </w:r>
    </w:p>
    <w:p>
      <w:r>
        <w:t>FR: TAF C-2480/2011 du 9 octobre 2012</w:t>
      </w:r>
    </w:p>
    <w:p>
      <w:r>
        <w:t>IT: TAF C-2480/2011 del 9 ottobre 2012</w:t>
      </w:r>
    </w:p>
    <w:p>
      <w:pPr>
        <w:pStyle w:val="Heading2"/>
      </w:pPr>
      <w:r>
        <w:t>Regeste</w:t>
      </w:r>
    </w:p>
    <w:p>
      <w:r>
        <w:t>Invalidenversicherung (Übriges)</w:t>
      </w:r>
    </w:p>
    <w:p>
      <w:pPr>
        <w:pStyle w:val="Heading2"/>
      </w:pPr>
      <w:r>
        <w:t>Erwägungen</w:t>
      </w:r>
    </w:p>
    <w:p>
      <w:r>
        <w:rPr>
          <w:b/>
        </w:rPr>
        <w:t>E. 1</w:t>
      </w:r>
    </w:p>
    <w:p>
      <w:r>
        <w:t>Das Bundesverwaltungsgericht prüft von Amtes wegen und mit freier Kognition, ob die Prozessvoraussetzungen vorliegen und auf die Beschwerde einzutreten ist (BVGE 2007/6 E. 1 mit Hinweisen).</w:t>
      </w:r>
    </w:p>
    <w:p>
      <w:r>
        <w:rPr>
          <w:b/>
        </w:rPr>
        <w:t>E. 1.1</w:t>
      </w:r>
    </w:p>
    <w:p>
      <w:r>
        <w:t>Die angefochtene Verfügung der Vorinstanz vom 20. April 2011 stellt eine Verfügung nach Art. 5 des Bundesgesetzes über das Verwaltungsverfahren vom 20. Dezember 1968 (Verwaltungsverfahrensgesetz, VwVG, SR 172.021) dar. Das Bundesverwaltungsgericht ist zuständig für die Beurteilung von Beschwerden gegen Verfügungen nach Art. 5 VwVG,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ist eine Vorinstanz im Sinn von Art. 33 Bst. d VGG (vgl. auch Art. 69 Abs. 1 Bst. b des Bundesgesetzes über die Invalidenversicherung vom 19. Juni 1959 [IVG, SR 831.20]), und eine Ausnahme nach Art. 32 VGG liegt nicht vor. Das Bundesverwaltungsgericht ist daher zur Beurteilung der vorliegenden Beschwerde zuständig.</w:t>
      </w:r>
    </w:p>
    <w:p>
      <w:r>
        <w:rPr>
          <w:b/>
        </w:rPr>
        <w:t>E. 1.2</w:t>
      </w:r>
    </w:p>
    <w:p>
      <w:r>
        <w:t>Der Beschwerdeführer ist durch den angefochtenen Entscheid besonders berührt und hat an dessen Aufhebung oder Änderung ein schutzwürdiges Interesse (Art. 48 Abs. 1 VwVG; vgl. auch Art. 59 ATSG). Er ist daher zur Beschwerde legitimiert.</w:t>
      </w:r>
    </w:p>
    <w:p>
      <w:r>
        <w:rPr>
          <w:b/>
        </w:rPr>
        <w:t>E. 1.3</w:t>
      </w:r>
    </w:p>
    <w:p>
      <w:r>
        <w:t>Die Beschwerde wurde frist- und formgerecht eingereicht (Art. 50 Abs. 1, Art. 52 Abs. 1 VwVG; vgl. auch Art. 60 ATSG), und der Beschwerdeführer hat den einverlangten Kostenvorschuss innert der gesetzten Frist bezahlt. Auf die Beschwerde ist daher einzutreten.</w:t>
      </w:r>
    </w:p>
    <w:p>
      <w:r>
        <w:rPr>
          <w:b/>
        </w:rPr>
        <w:t>E. 2.1</w:t>
      </w:r>
    </w:p>
    <w:p>
      <w:r>
        <w:t>Anfechtungsobjekt bildet die Verfügung der Vorinstanz vom 20. April 2011, mit welcher die Auszahlung der Kinderrente für C._______ neu ab 1. April 2011 an dessen geschiedene Ehefrau und Mutter von C._______ angeordnet wird. Streitig und zu prüfen ist die Rechtmässigkeit dieser Verfügung. Nicht Teil des Streitgegenstandes, da in der Beschwerde nicht beanstandet, sind die Rentenhöhe und der Rentenbeginn.</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2.4</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2.5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128 II 145 E. 1.2.2, BGE 127 II 264 E. 1b).</w:t>
      </w:r>
    </w:p>
    <w:p>
      <w:r>
        <w:rPr>
          <w:b/>
        </w:rPr>
        <w:t>E. 2.6</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IVG sind die Bestimmungen des ATSG auf die Invalidenversicherung (Art. 1a-26bis und 28-70) anwendbar, soweit das Bundesgesetz vom 19. Juni 1959 über die Invalidenversicherung (IVG, SR 831.20) nicht ausdrücklich eine Abweichung vom ATSG vorsieht.</w:t>
      </w:r>
    </w:p>
    <w:p>
      <w:r>
        <w:rPr>
          <w:b/>
        </w:rPr>
        <w:t>E. 2.7</w:t>
      </w:r>
    </w:p>
    <w:p>
      <w:r>
        <w:t>In materiellrechtlicher Hinsicht sind grundsätzlich diejeni­gen Rechtsvorschriften anwendbar, die bei Erfüllung des zu Rechtsfolgen führenden Sachverhalts Geltung haben (BGE 134 V 315 E. 1.2; BGE 130 V 329 E. 2.3).</w:t>
      </w:r>
    </w:p>
    <w:p>
      <w:r>
        <w:rPr>
          <w:b/>
        </w:rPr>
        <w:t>E. 2.8</w:t>
      </w:r>
    </w:p>
    <w:p>
      <w:r>
        <w:t>Der Beschwerdeführer ist Schweizer Staatsbürger. Sein Anspruch auf eine Auszahlung der Kinderrente bestimmt sich ausschliesslich nach dem internen schweizerischen Recht.</w:t>
      </w:r>
    </w:p>
    <w:p>
      <w:r>
        <w:rPr>
          <w:b/>
        </w:rPr>
        <w:t>E. 3</w:t>
      </w:r>
    </w:p>
    <w:p>
      <w:r>
        <w:t>Nachfolgend sind die massgebenden gesetzlichen Bestimmungen darzulegen.</w:t>
      </w:r>
    </w:p>
    <w:p>
      <w:r>
        <w:rPr>
          <w:b/>
        </w:rPr>
        <w:t>E. 3.1</w:t>
      </w:r>
    </w:p>
    <w:p>
      <w:r>
        <w:t>Männer und Frauen, denen eine Invalidenrente zusteht, haben für jedes Kind, das im Falle ihres Todes eine Waisenrente der Alters- und Hinterlassenenversicherung beanspruchen könnte, Anspruch auf eine Kinderrente (Art. 35 Abs. 1 IVG). Die Kinderrente wird wie die Rente ausbezahlt, zu der sie gehört. Vorbehalten bleiben die Bestimmungen über die zweckgemässe Verwendung (Art. 20 ATSG) und abweichende zivilrichterliche Anordnungen. Der Bundesrat kann die Auszahlung für Sonderfälle in Abweichung von Art. 20 ATSG regeln, namentlich für Kinder aus getrennter oder geschiedener Ehe (Art. 35 Abs. 2 IVG).</w:t>
      </w:r>
    </w:p>
    <w:p>
      <w:r>
        <w:rPr>
          <w:b/>
        </w:rPr>
        <w:t>E. 3.2</w:t>
      </w:r>
    </w:p>
    <w:p>
      <w:r>
        <w:t>Die Kinderrente ist eine akzessorische Leistung zur Hauptrente. Anspruchsberechtigt ist deshalb der rentenberechtigte Versicherte. Die Kinderrente dient aber dem Unterhalt des Kindes (vgl. Urteil des Bundesgerichts 5P.346/2006 vom 12. Oktober 2006 E. 3.3 sowie BGE 134 V 15 E. 2.3.3).</w:t>
      </w:r>
    </w:p>
    <w:p>
      <w:r>
        <w:rPr>
          <w:b/>
        </w:rPr>
        <w:t>E. 3.3</w:t>
      </w:r>
    </w:p>
    <w:p>
      <w:r>
        <w:t>Sind die Eltern des Kindes nicht oder nicht mehr miteinander ver­heiratet oder leben sie getrennt, ist gemäss Art. 82 Abs. 1 der Verordnung über die Invalidenversicherung vom 17. Januar 1961 (IVV; SR 831.201) in Verbindung mit Art. 71ter Abs. 1 der Ver­ordnung vom 31. Oktober 1947 über die Alters- und Hinterlassenen­versicherung (AHVV, SR 831.101) die Kinderrente auf Antrag dem nicht rentenberechtigten Elternteil auszuzahlen, wenn diesem die el­terliche Sorge über das Kind zusteht und es bei ihm wohnt. Abwei­chende vormundschaftliche oder zivilrichterliche Anordnungen bleiben vorbehalten. Der Gesetzgeber hat also vorgesehen, dass Kinderrenten gegebenenfalls auch gegen den Willen der versicherten Person an eine Drittperson ausbezahlt werden können. Die Verwaltung hat eine konstante Drittauszahlungspraxis entwickelt, welche auch das Eidgenös­si­sche Versicherungsgericht [EVG, heute Bundesgericht] wiederholt billigte (BGE 103 V 134 E. 3, BGE 101 V 208, BGE 98 V 216; AHI-Praxis 1/2002 Seite 14 f.; Wegleitung über die Renten [RWL] in der Eid­genössischen Alters-, Hinterlassenen- und Invalidenversiche­rung, Rz. 10007). Gemäss RWL Rz. 10010 hat die Ausgleichskasse den nicht rentenbe­rechtigten Elternteil auf diese Möglichkeit hinzuweisen, wenn aus den Rentenakten hervorgeht, dass die Eltern getrennt leben.</w:t>
      </w:r>
    </w:p>
    <w:p>
      <w:r>
        <w:rPr>
          <w:b/>
        </w:rPr>
        <w:t>E. 3.4</w:t>
      </w:r>
    </w:p>
    <w:p>
      <w:r>
        <w:t>Nach dem klaren Wortlaut (vgl. BGE 134 V 15 E. 2.2) von Art. 71ter Abs. 1 AHVV setzt die Ausrichtung der Kinderrente an eine andere Person als an den Ren­tenberechtigten einen entsprechenden Antrag voraus. Die Verwaltungsakten enthielten vorerst keinen Antrag auf Drittaus­zah­lung. Erst die Bekanntgabe des Wegzugs ins Ausland führte dazu, dass die Vorinstanz den Wohnort der Tochter genauer abklärte und gemäss ihren Richtlinien die Mutter der gemeinsamen Tochter auf die Möglichkeit einer Direktauszahlung der Kinderrente hinwies. In der Folge stellte die Beschwerdegegnerin einen Antrag auf direkte Auszahlung der Kinderrente.</w:t>
      </w:r>
    </w:p>
    <w:p>
      <w:r>
        <w:rPr>
          <w:b/>
        </w:rPr>
        <w:t>E. 3.5</w:t>
      </w:r>
    </w:p>
    <w:p>
      <w:r>
        <w:t>Indem die frühere Ehefrau des Beschwerdeführers das Antragsformular am 8. März 2011 (act. 152) unterzeichnet zurück sandte, sind die formellen Voraus­setz­ungen für die Direktauszahlung der Kinderrenten an die Mutter erfüllt.</w:t>
      </w:r>
    </w:p>
    <w:p>
      <w:r>
        <w:rPr>
          <w:b/>
        </w:rPr>
        <w:t>E. 3.6</w:t>
      </w:r>
    </w:p>
    <w:p>
      <w:r>
        <w:t>In materieller Hinsicht ist unbestritten, dass die Tochter des Beschwerdeführers und seiner früheren Ehefrau im Scheidungs­ver­fahren unter die Obhut der Mutter gestellt wurde und die Tochter seit der Geburt bei der Mutter wohnt.</w:t>
      </w:r>
    </w:p>
    <w:p>
      <w:r>
        <w:rPr>
          <w:b/>
        </w:rPr>
        <w:t>E. 3.7</w:t>
      </w:r>
    </w:p>
    <w:p>
      <w:r>
        <w:t>Demzufolge gelangt die Ausnahmeregelung zur Anwendung, wonach die Kinderrente auch gegen den Willen des Versicherten an eine Drittperson ausgerichtet werden kann.</w:t>
      </w:r>
    </w:p>
    <w:p>
      <w:r>
        <w:rPr>
          <w:b/>
        </w:rPr>
        <w:t>E. 3.8</w:t>
      </w:r>
    </w:p>
    <w:p>
      <w:r>
        <w:t>Es bleibt noch zu beurteilen, ob vorliegend der Vorbehalt einer anderslautenden zivilrechtlichen Anordnung zum Tragen kommt, wie dies der Beschwerdeführer behauptet. Er bringt vor, dass seine frühere Ehefrau mit Erklärung vom 18. November 1996 auf jegliche Unterhaltsbeiträge für die gemeinsame Tochter verzichtet habe. Die der Beschwerde beigefügte Erklärung der Beschwerdegegnerin enthält einen Verzicht der Beschwerdegegnerin auf Unterhaltsbeiträge für die Tochter C._______. Damit hat die Beschwerdegegnerin jedoch weder auf die Kinderrente für ihre Tochter verzichtet, noch handelt es sich um eine zivilrechtliche Anordnung im Sinne von Art. 71ter Abs. 1 AHVV. Zusammengefasst erweist sich die angefochtene Verfügung als rechtens.</w:t>
      </w:r>
    </w:p>
    <w:p>
      <w:r>
        <w:rPr>
          <w:b/>
        </w:rPr>
        <w:t>E. 4</w:t>
      </w:r>
    </w:p>
    <w:p>
      <w:r>
        <w:t>Der Antrag des Beschwerdeführers erweist sich somit als offensichtlich unbegründet und die Beschwerde ist daher im einzelrichterlichen Verfahren gemäss Art. 23 Abs. 2 VGG in Verbindung mit Art. 69 Abs. 3 IVG und Art. 85bis Abs. 3 AHVG abzuweisen.</w:t>
      </w:r>
    </w:p>
    <w:p>
      <w:r>
        <w:rPr>
          <w:b/>
        </w:rPr>
        <w:t>E. 5.1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Die Verfahrenskosten sind gemäss dem Reglement vom 21. Februar 2008 über die Kosten und Entschädigungen vor dem Bundesverwaltungsgericht (VGKE, SR 173.320.2) zu bestimmen. Sie werden bei diesem Ausgang des Verfahrens auf Fr. 400.- festgelegt und mit dem bereits einbezahlten Kostenvorschuss verrechnet.</w:t>
      </w:r>
    </w:p>
    <w:p>
      <w:r>
        <w:rPr>
          <w:b/>
        </w:rPr>
        <w:t>E. 5.2</w:t>
      </w:r>
    </w:p>
    <w:p>
      <w:r>
        <w:t>Die obsiegende Vorinstanz als Bundesbehörde hat keine Anspruch auf Parteientschädigung (Art. 7 Abs. 3 des Reglements vom 21. Februar 2008 über die Kosten und Entschädigungen vor dem Bundesverwaltungsgericht [VGKE, SR 73.320.2]). Die nicht anwaltlich vertretene Beschwerdegegnerin hatte verhältnismässig geringe Kosten, weshalb ihr keine Parteientschädigung zuzusprechen ist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