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C-2477/2011 vom 15. März 2011</w:t>
      </w:r>
    </w:p>
    <w:p>
      <w:r>
        <w:t>Bundesverwaltungsgericht, 2011-03-15, IT</w:t>
      </w:r>
    </w:p>
    <w:p>
      <w:r>
        <w:rPr>
          <w:b/>
        </w:rPr>
        <w:t xml:space="preserve">Quelle: </w:t>
      </w:r>
      <w:r>
        <w:t>https://mcp.opencaselaw.ch/entscheid/bvger_C-2477_2011</w:t>
      </w:r>
    </w:p>
    <w:p>
      <w:r>
        <w:t>FR: TAF C-2477/2011 du 15 mars 2011</w:t>
      </w:r>
    </w:p>
    <w:p>
      <w:r>
        <w:t>IT: TAF C-2477/2011 del 15 marzo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sono altresì (ancora)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nuova domanda di una rendita AI essendo stata presentata nel 2010 (v. consid. 3.3 del presente giudizio), al caso in esame si applicano di principio le disposizioni della 5a revisione della LAI entrate in vigore il 1° gennaio 2008 (cfr. sentenza del Tribunale federale 8C_249/2010 del 1° giugno 2009; v. anche la sentenza del Tribunale amministrativo federale C-5630/2010 del 13 settembre 2012). Al caso di specie, non sono per contro applicabili le disposizioni della 6a revisione della LAI (primo pacchetto) che sono entrate in vigore il 1° gennaio 2012 (FF 2010 1603).</w:t>
      </w:r>
    </w:p>
    <w:p>
      <w:r>
        <w:rPr>
          <w:b/>
        </w:rPr>
        <w:t>E. 3.3</w:t>
      </w:r>
    </w:p>
    <w:p>
      <w:r>
        <w:t>Per quanto emerge dalle carte processuali, il ricorrente appare avere presentato una nuova domanda di rendita il 14 luglio 2010 (e non il 12 marzo 2010 come appare avere erroneamente ritenuto l'autorità inferiore nel progetto di decisione [in tale data non essendo ancora stata resa la decisione del 15 marzo 2010 sulla prima domanda di rendita {decisione nel frattempo cresciuta incontestata in giudicato}]). La questione della data effettiva d'inoltro della nuova domanda di rendita AI può comunque essere lasciata indecisa in questa sede, dal momento che la decisione impugnata incorre comunque nell'annullamento, con rinvio degli atti all'autorità inferiore per completamento dell'istruzione, per i motivi che saranno esposti di seguito. Giova altresì rammentare che,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6.3 del presente giudizio]).</w:t>
      </w:r>
    </w:p>
    <w:p>
      <w:r>
        <w:rPr>
          <w:b/>
        </w:rPr>
        <w:t>E. 3.4</w:t>
      </w:r>
    </w:p>
    <w:p>
      <w:r>
        <w:t>Il potere cognitivo di questo Tribunale è peraltro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Nella replica, il ricorrente rimprovera all'autorità inferiore di non avere sufficientemente motivato la decisione impugnata. La censura relativa all'insufficiente motivazione della decisione può pure essere lasciata indecisa ritenuto che per i motivi che saranno esposti al considerando 10 del presente giudizio, il ricorso va comunque accolto e la decisione impugnata annullata per insufficiente accertamento dei fatti giuridicamente rilevanti.</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18 anni (doc. A 7-1) e, pertanto, adempie in ogni caso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(sentenza del Tribunale federale U 505/06 del 17 dicembre 2007).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(sentenza del Tribunale federale I 166/03 del 30 giugno 2004 consid. 3.3).</w:t>
      </w:r>
    </w:p>
    <w:p>
      <w:r>
        <w:rPr>
          <w:b/>
        </w:rPr>
        <w:t>E. 9.3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10.1</w:t>
      </w:r>
    </w:p>
    <w:p>
      <w:r>
        <w:t>Nel caso di specie, occorre fra l'altro esaminare se prima della resa della decisione impugnata, l'UAIE avrebbe dovuto procedere ad ulteriori misure istruttorie, segnatamente ordinare un ulteriore accertamento specialistico ortopedico-reumatologico, per potersi determinare con cognizione di causa sulla residua capacità lavorativa dell'insorgente, come quest'ultimo fa valere nel ricorso (p. 5, pto 3 ultimo paragrafo).</w:t>
      </w:r>
    </w:p>
    <w:p>
      <w:r>
        <w:rPr>
          <w:b/>
        </w:rPr>
        <w:t>E. 10.2</w:t>
      </w:r>
    </w:p>
    <w:p>
      <w:r>
        <w:t>Nel rapporto medico del 29 aprile 2010 (doc. A 67-2), ordinato dalla D._______, il dott. E._______, specialista in reumatologia, ha posto la diagnosi segnatamente di periartropatia omero-scapolare cronica a destra con sindrome d'attrito complicata da una parziale retrazione della capsula articolare senza lesioni della cuffia dei rotatori e con limitazioni funzionali ed algiche persistenti, esiti da artrolisi, sinovialectomia e bursectomia artroscopia della spalla sinistra con tenotomia del capo lungo del bicipite per capsulite retrattile con limitazioni funzionali lievi, lombalgia cronica senza attualmente una sindrome vertebrale e presenza di alterazioni degenerative modiche. In particolare, lo specialista ha constatato che l'esame clinico mostra in confronto all'esame precedente (dell'agosto 2009 [v. doc. A 23-2]) una maggiore limitazione della mobilità della spalla destra, principalmente per dolori scatenati nella mobilizzazione attiva o passiva in tutte le direzioni. Alla spalla sinistra vi sono dolori minori, accompagnati da limitazioni funzionali in abduzione e nei movimenti rotatori. Al livello cervicale vi sono limitazioni discrete della mobilità senza alcuna sindrome vertebrale. Lo stesso dicasi per il tratto toracolombare dove i reperti si limitano ad un lieve disturbo della statica (discreta scoliosi) e ad un'irritazione del segmento L5-S1 (osteocondrosi). Non vi è alcuna neurocompressione clinicamente evidente. Detto medico ha altresì osservato che la patologia del rachide appare ininfluente sulla capacità funzionale, non essendoci alcuna sindrome vertebrale né cervicale né lombare né tanto meno una complicazione neurologica negli arti inferiori. Il dott. E._______ ha quindi considerato che l'assicurato presenta una capacità lavorativa inferiore al 30% nella precedente attività di operaio (agricolo) ed una capacità lavorativa del 75% (presenza normale, rendimento ridotto) in un'attività confacente allo stato di salute.</w:t>
      </w:r>
    </w:p>
    <w:p>
      <w:r>
        <w:rPr>
          <w:b/>
        </w:rPr>
        <w:t>E. 10.3</w:t>
      </w:r>
    </w:p>
    <w:p>
      <w:r>
        <w:t>Il dott. H._______, specialista in ortopedia, nel rapporto medico di parte del 6 ottobre 2010 (doc. A 75-2), ha esposto la diagnosi segnatamente di sindrome algica, deficit funzionale, diminuzione della forza e della resistenza agli sforzi spalla sinistra in presenza di uno stato dopo capsulotomia e tenotomia del capolungo del bicipite, periartropatia tendinotica con lesione parziale del sopraspinato spalla destra, decorso caratterizzato dall'insorgenza di una capsulite retrattile, sindrome vertebrale cervicale e lombare in presenza di incipienti degenerazioni segmentali. Detto medico ha pure rilevato una limitazione funzionale all'altezza o appena al di sopra dell'orizzontale e in rotazione di ambedue le spalle, messa sotto tensione della cuffia dei rotatori sensibile a destra, disturbo statico del rachide, postura conservata, minima disfunzione lombare-inferiore, senza insufficienza muscolare paravertebrale, zone d'irritazione medio-toracale e medio-cervicale, funzione del rachide cervicale simmetrica con posizioni estreme sensibili a destra e quadro neurologico senza componente irritativa o deficitaria di rilievo. Ha poi segnalato che la capacità lavorativa è determinata dalla ridotta caricabilità delle spalle e che i limiti funzionali di queste ultime si situano ben al di sotto di quanto effettivamente raggiungibile dall'insieme del rachide. Il dott. H._______ ha ritenuto un'inabilità al lavoro almeno del 70% nella precedente attività e pure una riduzione della capacità lavorativa del 70% nello svolgimento di attività adattate medicalmente esigibili.</w:t>
      </w:r>
    </w:p>
    <w:p>
      <w:r>
        <w:rPr>
          <w:b/>
        </w:rPr>
        <w:t>E. 10.4.1</w:t>
      </w:r>
    </w:p>
    <w:p>
      <w:r>
        <w:t>Il dott. F._______, medico SMR, nel succinto rapporto del 13 ottobre 2010 (doc. A 79-1), su cui si fonda la decisione impugnata, ha segnalato che, fermo restando le modifiche emerse dal rapporto medico dell'aprile 2010 del dott. E._______, reputava sempre valida la valutazione clinico-lavorativa dell'interessato di cui al suo apprezzamento del 15 ottobre 2009 fondato sul rapporto medico dell'agosto 2009 del dott. E._______ medesimo. Ha quindi confermato per il ricorrente un'incapacità lavorativa superiore al 70% dal 28 luglio 2008 nella precedente attività di operaio agricolo e un'incapacità lavorativa del 100% dal 28 luglio 2008, dello 0% dal 21 luglio 2009 e del 25% (rendimento ridotto) dal 26 aprile 2010 in un'attività confacente allo stato di salute. Il medico ha poi precisato che il rapporto medico dell'ottobre 2010 del dott. H._______ descrive il medesimo quadro clinico, ma fa stato di un apprezzamento soggettivo diverso riguardo alla capacità lavorativa in un'attività sostitutiva adeguata, apprezzamento che peraltro concorda sulla capacità lavorativa nella precedente attività.</w:t>
      </w:r>
    </w:p>
    <w:p>
      <w:r>
        <w:rPr>
          <w:b/>
        </w:rPr>
        <w:t>E. 10.4.2</w:t>
      </w:r>
    </w:p>
    <w:p>
      <w:r>
        <w:t>Nel rapporto del 10 ottobre 2011 (doc. TAF 9), il dott. J._______, medico SMR, ha ritenuto che dal rapporto medico del dott. H._______ non è ravvisabile, rispetto a quanto ritenuto nel rapporto medico del dott. E._______, una modifica significativa dello stato di salute del ricorrente. Peraltro, secondo detto medico, la segnalazione di un'incapacità lavorativa del 70% sia nella precedente attività sia in un'attività confacente allo stato di salute non appare logica e sussiste il sospetto che si tratti di un errore di battitura, nel senso che l'insorgente presenterebbe una capacità lavorativa del 70% in un'attività sostitutiva adeguata (la questione sarebbe comunque da sottoporre al dott. H._______ per verifica).</w:t>
      </w:r>
    </w:p>
    <w:p>
      <w:r>
        <w:rPr>
          <w:b/>
        </w:rPr>
        <w:t>E. 10.5</w:t>
      </w:r>
    </w:p>
    <w:p>
      <w:r>
        <w:t>In merito a tali valutazioni, occorre rilevare che il rapporto sulla visita di controllo del dott. E._______ del 29 aprile 2010 e il rapporto ortopedico del dott. H._______ del 6 ottobre 2010 - che comportano entrambi l'anamnesi, informazioni tratte dall'incarto, indicazioni del peritando, le risultanze della visita, la diagnosi e la discussione e che appaiono entrambi parimenti affidabili con riferimento all'indicazione delle affezioni riscontrate - si contraddicono in merito alla diagnosi nonché alla residua capacità lavorativa dell'insorgente in un'attività sostitutiva confacente al suo stato di salute. La diagnosi posta nel rapporto ortopedico dell'ottobre 2010 (v. doc. A 75-2) non è pertanto affatto nella sostanza sovrapponibile con quella di cui al rapporto reumatologico del dott. E._______ dell'aprile 2010 (v. doc. A 67-2), contrariamente a quanto genericamente sostenuto nei citati rapporti SMR del 13 ottobre 2010 e 10 ottobre 2011 e pure dall'autorità inferiore. In particolare, il menzionato rapporto ortopedico del dott. H._______, il quale peraltro non risulta essere il medico curante del ricorrente, fa stato di una sindrome vertebrale cervicale e lombare che era stata esplicitamente esclusa nel menzionato rapporto del dott. E._______ del 29 aprile 2010 (v. pag. 8 [diagnosi] e pag. 9 in fine [commento]). Inoltre, secondo l'apprezzamento del dott. H._______, l'incapacità lavorativa dell'insorgente in un'attività sostitutiva adeguata è passata, rispetto alla valutazione reumatologica dell'aprile 2010, dal 30% al 70%. Ora, non è dato sapere, in assenza di adeguata motivazione (sia essa nei rapporti medici SMR sia nella decisione impugnata), per quale motivo secondo i dott. F._______ e J._______, medici SMR, si giustifica di scostarsi dalla valutazione specialistica del dott. H._______ in merito alla sopravvenienza (rilevata nella visita dell'11 agosto 2010 anche sulla base di una risonanza magnetica del rachide in toto effettuata il 19 luglio 2010) di una "sindrome vertebrale cervicale e lombare" successivamente alla visita di controllo del dott. E._______ del 26 aprile 2010. Certo, e come rilevato dal dott. J._______, si può nutrire qualche dubbio sul fatto se nel rapporto del dott. H._______ possa essere stato commesso un errore di battitura al momento dell'indicazione di un'incapacità lavorativa del 70% in un'attività sostitutiva adeguata, nel senso che detto medico avrebbe piuttosto voluto indicare una capacità lavorativa residua del 70% in tali attività. Il medico SMR ha tuttavia segnalato che al riguardo si sarebbero dovute chiedere le precisazioni necessarie al dott. H._______ stesso. Né il dott. J._______ né l'autorità inferiore si sono però preoccupati di assumere tali necessarie informazioni/precisazioni dal diretto interessato. Peraltro, quand'anche per denegata ipotesi il dott. H._______ avesse voluto ritenere una capacità lavorativa residua del ricorrente del 70% in attività sostitutive adattate, l'incapacità lavorativa che ne consegue è del 30% in siffatte attività, dunque superiore del 5% (in presenza di nuova diagnosi [sindrome vertebrale cervicale e lombare]) rispetto a quella indicata dal dott. E._______, suscettibile di determinare, a seguito del necessario raffronto dei redditi, un grado di invalidità superiore al 40%, soglia a partire dalla quale si giustifica l'erogazione di un quarto di rendita.</w:t>
      </w:r>
    </w:p>
    <w:p>
      <w:r>
        <w:rPr>
          <w:b/>
        </w:rPr>
        <w:t>E. 10.6</w:t>
      </w:r>
    </w:p>
    <w:p>
      <w:r>
        <w:t>Conto tenuto delle considerazioni che precedono, al momento della pronuncia della decisione impugnata non vi erano agli atti di causa sufficienti elementi di giudizio dal profilo medico per pronunciarsi con cognizione di causa sullo stato di salute e sulla residua capacità lavorativa dell'insorgente con il grado della verosimiglianza preponderante. Contrariamente a quanto sostenuto dall'autorità inferiore non sono date nel caso di specie le condizioni per rinunciare ad assumere ulteriori prove poiché esse non potrebbero comunque modificare il risultato finale (apprezzamento anticipato delle prove). Era ed è in effetti indispensabile, tenuto conto dell'insieme delle circostanze del caso di specie, che l'UAIE procedesse ad un completamento dell'istruttoria - segnatamente mediante l'effettuazione di un complemento peritale specialistico ortopedico-reumatologico nonché, se del caso, di ogni altra investigazione che dovesse rendersi necessaria sulla base delle risultanze di detto completamento - alfine di determinare in particolare se la nuova sindrome vertebrale cervicale e lombare diagnosticata al ricorrente da uno specialista, che non è contemporaneamente medico curante, possa giustificare l'erogazione di una rendita dell'assicurazione svizzera per l'invalidità. Basti ancora rilevare che nel più volte citato rapporto di visita di controllo del 26 aprile 2010, il dott. E._______ ha esplicitamente indicato a pag. 9: "La patologia del rachide appare ininfluente sulla capacità funzionale, non essendoci alcuna sindrome né cervicale né lombare e tanto meno una complicazione neurologica negli arti inferiore". Ne discende che in presenza di una siffatta sindrome, diagnosticata nel rapporto del dott. H._______ del 6 ottobre 2010, sussiste la concreta probabilità di un'ulteriore diminuzione (dal 25% finora ritenuto) della residua capacità lavorativa del ricorrente anche in attività sostitutive adeguate. Inoltre, secondo giurisprudenza, allorquando in una fattispecie si è in presenza, da un lato, di perizie complete e concordi di medici specialisti e, dall'altro, di una perizia effettuata nell'ambito di un esame pluridisciplinare perlomeno di uguale valore probatorio e le stesse si contraddicono su elementi determinanti, in particolare sulla diagnosi, l'autorità non può fondarsi sulla perizia effettuata nell'ambito dell'esame pluridisciplinare senza effettuare una superperizia (cfr. le sentenze del Tribunale federale 8C_650/2012 del 5 dicembre 2012 consid. 3.1 e 8C_148/2011 del 5 luglio 2011 consid. 5.3). In analogia, ed in considerazione delle particolarità del caso di specie, in presenza di due rapporti specialistici di pari valore probatorio, che sembrano entrambi rispondere ai necessari criteri e da cui dipende l'erogazione o meno di una rendita d'invalidità, non è consentito all'UAIE, in assenza come nel caso concreto di valide ragioni, di decidere prescindendo da più approfonditi esami e di determinare il grado d'invalidità sulla base dell'uno o dell'altro rapporto specialistico rispettivamente del valore mediano d'incapacità lavorativa risultante dai due rapporti (che nel caso di specie sarebbe del 27,5%, suscettibile altresì, a seguito del necessario raffronto dei redditi determinanti, di giustificare l'erogazione di un quarto di rendita).</w:t>
      </w:r>
    </w:p>
    <w:p>
      <w:r>
        <w:rPr>
          <w:b/>
        </w:rPr>
        <w:t>E. 10.7</w:t>
      </w:r>
    </w:p>
    <w:p>
      <w:r>
        <w:t>Da quanto esposto, discende che la decisione impugnata, che viola il diritto federale (accertamento insufficiente dei fatti giuridicamente rilevanti), incorre pertanto nell'annullamento.</w:t>
      </w:r>
    </w:p>
    <w:p>
      <w:r>
        <w:rPr>
          <w:b/>
        </w:rPr>
        <w:t>E. 11.1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C-5019/2010 del 14 agosto 2012 consid. 15.1).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esame specialistico complementare sullo stato di salute ortopedico-reumatologico (cfr., sulla possibilità di un rinvio all'autorità inferiore in siffatte circostanze, DTF 137 V 210 4.4.1.4), e con ogni ulteriore esame che l'evoluzione nel tempo dello stato di salute dell'insorgente dovesse rendere necessario, nonché a pronunciare una nuova decisione.</w:t>
      </w:r>
    </w:p>
    <w:p>
      <w:r>
        <w:rPr>
          <w:b/>
        </w:rPr>
        <w:t>E. 11.2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15 marzo 2011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12.1</w:t>
      </w:r>
    </w:p>
    <w:p>
      <w:r>
        <w:t>Visto l'esito della causa, non sono prelevate delle spese processuali (art. 63 PA).</w:t>
      </w:r>
    </w:p>
    <w:p>
      <w:r>
        <w:rPr>
          <w:b/>
        </w:rPr>
        <w:t>E. 12.2</w:t>
      </w:r>
    </w:p>
    <w:p>
      <w:r>
        <w:t>Ritenuto che l'insorgente è rappresentato in questa sede da mandataria professionale, si giustifica altresì l'attribuzione di spese ripetibili di spese ripetibili (art. 64 PA in combinazione con l'art. 7 segg. del regolamento sulle tasse e sulle spese ripetibili nelle cause dinanzi al Tribunale amministrativo federale del 21 febbraio 2008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2'500.--, tenuto conto del lavoro utile e necessario - in causa non necessariamente semplice e con incarto relativamente voluminoso - svolto dalla rappresentante del ricorrente. L'indennità per ripetibili è posta a carico dell'UAIE.</w:t>
      </w:r>
    </w:p>
    <w:p>
      <w:r>
        <w:rPr>
          <w:b/>
        </w:rPr>
        <w:t>E. 12.3</w:t>
      </w:r>
    </w:p>
    <w:p>
      <w:r>
        <w:t>La domanda di assistenza giudiziaria e gratuito patrocinio è pertanto divenuta senza oggetto (cfr. sentenza del Tribunale amministrativo federale C-7077/2010 dell'11 gennaio 2013 consid. 8.4 e relativi riferimenti).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