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C-2473/2012 vom 23. August 2013</w:t>
      </w:r>
    </w:p>
    <w:p>
      <w:r>
        <w:t>Bundesverwaltungsgericht, 2013-08-23, FR</w:t>
      </w:r>
    </w:p>
    <w:p>
      <w:r>
        <w:rPr>
          <w:b/>
        </w:rPr>
        <w:t xml:space="preserve">Quelle: </w:t>
      </w:r>
      <w:r>
        <w:t>https://mcp.opencaselaw.ch/entscheid/bvger_C-2473_2012</w:t>
      </w:r>
    </w:p>
    <w:p>
      <w:r>
        <w:t>FR: TAF C-2473/2012 du 23 août 2013</w:t>
      </w:r>
    </w:p>
    <w:p>
      <w:r>
        <w:t>IT: TAF C-2473/2012 del 23 agosto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Toutefois les dispositions de la 5e révision de la LAI entrées en vigueur le 1er janvier 2008 sont également applicables s'agissant du droit à la rente jusqu'au 31 décembre 2011.</w:t>
      </w:r>
    </w:p>
    <w:p>
      <w:r>
        <w:rPr>
          <w:b/>
        </w:rPr>
        <w:t>E. 2.2</w:t>
      </w:r>
    </w:p>
    <w:p>
      <w:r>
        <w:t>En l'espèce, le Tribunal peut se limiter à examiner si le recourant remplissait les conditions d'octroi d'une rente jusqu'au 3 avril 2012, date de la décision attaquée marquant la limite dans le temps du pouvoir d'examen de l'autorité de recours (ATF 129 V 1 consid. 2.1 avec les réf.).</w:t>
      </w:r>
    </w:p>
    <w:p>
      <w:r>
        <w:rPr>
          <w:b/>
        </w:rPr>
        <w:t>E. 3.1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3.2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comme maçon en Suisse pendant 16 ans et poursuivi cette activité après le retour dans son pays d'origine en 2001 pendant 9 ans jusqu'à son infarctus du myocarde en juillet 2010. Le Tribunal peut donc retenir que, au moins jusqu'en juillet 2010, l'assuré ne présentait pas d'invalidité au sens de la loi suisse.</w:t>
      </w:r>
    </w:p>
    <w:p>
      <w:r>
        <w:rPr>
          <w:b/>
        </w:rPr>
        <w:t>E. 6.2</w:t>
      </w:r>
    </w:p>
    <w:p>
      <w:r>
        <w:t>Pour la période successive, on dispose d'une documentation médicale. Selon une jurisprudence constante, les données fournies par le médecin constituent un élément utile pour apprécier les conséquences de l'atteinte à la santé et pour déterminer quels travaux on peut encore raisonnablement exiger de l'assuré (ATF 115 V 133 consid. 2).</w:t>
      </w:r>
    </w:p>
    <w:p>
      <w:r>
        <w:rPr>
          <w:b/>
        </w:rPr>
        <w:t>E. 6.3</w:t>
      </w:r>
    </w:p>
    <w:p>
      <w:r>
        <w:t>La notion d'invalidité, dont il est question à l'art. 8 LPGA et à l'art. 4 LAI, est cependant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7.3</w:t>
      </w:r>
    </w:p>
    <w:p>
      <w:r>
        <w:t>Pour accomplir leurs tâches les offices AI sont tenus, au stade de la procédure administrative, de confier une expertise à un médecin indépendant lorsqu'elle se révèle nécessaire pour clarifier les aspects médicaux du cas (Michel Valterio, Droit de l'assurance-vieillesse et survivants (AVS) et de l'assurance-invalidité (AI), Zurich 2011,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 Plus pragmatiquement l'administration peut procéder à une appréciation anticipée des preuves pour juger de la non nécessité d'une expertise médicale si le dossier est complet (cf. ATF 135 V 2 consid. 1.3).</w:t>
      </w:r>
    </w:p>
    <w:p>
      <w:r>
        <w:rPr>
          <w:b/>
        </w:rPr>
        <w:t>E. 8.1</w:t>
      </w:r>
    </w:p>
    <w:p>
      <w:r>
        <w:t>En l'espèce, l'intéressé souffre principalement de problèmes cardio-vasculaires et est régulièrement suivi pour cette affection comme l'attestent les différents rapports médicaux espagnols produits au cours de la procédure. Outre les problèmes au niveau cardiologique, le recourant présente toute une série d'autres pathologies somatiques ainsi qu'un trouble dépressif qui a nécessité un suivi thérapeutique (voir rapport de la Dresse G._______ du 3 janvier 2012 joint au recours). Or, la Dresse B._______, appelée à se prononcer à diverses reprises au cours de la procédure, retient que seule l'affection cardiologique justifie une incapacité de travail dans l'activité habituelle, mais que le recourant est apte à exercer une activité de substitution plus légère à plein temps (telle que concierge, gardien d'immeuble ou de chantier, magasinier, vendeur par correspondance, réparateur de petits appareils, vendeur de billets, distributeur de courrier interne, commissionnaire, réceptionniste, standardiste, téléphoniste), qui tienne compte de ses limitations fonctionnelles, les autres pathologies n'étant pas invalidantes et donc sans influence sur la capacité de travail résiduelle.</w:t>
      </w:r>
    </w:p>
    <w:p>
      <w:r>
        <w:rPr>
          <w:b/>
        </w:rPr>
        <w:t>E. 8.2</w:t>
      </w:r>
    </w:p>
    <w:p>
      <w:r>
        <w:t>Au vu des nombreuses pièces produites par l'assuré décrivant ses multiples problèmes de santé (migraines avec aura, apnées du sommeil, sténoses des carotides des deux côtés, hypercholestérolémie, hypertension, hypersomnie diurne, troubles dégénératifs de la colonne lombaire et cervicale, trouble dépressif, stéatose hépatique, hernie inguinale, hernie hiatale), l'appréciation que le recourant est apte à exercer une activité de substitution plus légère à plein temps (et sans baisse de rendement) ne peut être retenue par le Tribunal de céans sans autre comme déterminante au regard du devoir de l'administration d'instruire selon le mode inquisitoire un dossier, au besoin en requérant le complètement de rapports médicaux et en sollicitant les rapports médicaux nécessaires déterminés par les pathologies existantes, lesquelles ont entraîné une attestation d'inaptitude totale au travail dans l'activité habituelle. Il s'ensuit de ce qui précède que le dossier doit être retourné à l'administration en application de l'art. 61 PA (ATF 137 V 210 consid. 4.4.1.4) afin qu'elle requiert une expertise pluridisciplinaire fixant les limitations fonctionnelles de l'assuré, les conditions que devrait remplir une activité adaptée, la capacité de travail résiduelle de l'intéressé dans une telle activité ainsi que l'éventuelle perte de gain et rende une nouvelle décision.</w:t>
      </w:r>
    </w:p>
    <w:p>
      <w:r>
        <w:rPr>
          <w:b/>
        </w:rPr>
        <w:t>E. 9.1</w:t>
      </w:r>
    </w:p>
    <w:p>
      <w:r>
        <w:t>Le recourant ayant eu partiellement gain de cause dans le sens d'un renvoi de la cause à l'autorité inférieure (cf. ATF 132 V 215 consid. 6.2), il n'est pas perçu de frais de procédure (art. 63 PA). L'avance de frais de 400 francs lui est remboursée.</w:t>
      </w:r>
    </w:p>
    <w:p>
      <w:r>
        <w:rPr>
          <w:b/>
        </w:rPr>
        <w:t>E. 9.2</w:t>
      </w:r>
    </w:p>
    <w:p>
      <w:r>
        <w:t>Le recourant ayant agi en étant représenté, il a droit à une indemnité de dépens (art. 7 al. 1 du règlement du 21 février 2008 concernant les frais, dépens et indemnités fixés par le Tribunal administratif fédéral [FITAF, RS 173.320.2]). Compte tenu de l'issue du recours, de la difficulté de la cause ainsi que du travail effectué par le représentant, le Tribunal lui alloue une indemnité globale de dépens de 1'000.- francs sans TVA car le recourant est domicilié à l'étranger, raison pour laquelle cette taxe n'est pas due (cf. entre autres arrêt du Tribunal administratif fédéral C-6248/2011 du 25 juillet 2012 consid. 12.2.5).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