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C-2466/2008 vom 27. Juni 2011</w:t>
      </w:r>
    </w:p>
    <w:p>
      <w:r>
        <w:t>Bundesverwaltungsgericht, 2011-06-27, DE</w:t>
      </w:r>
    </w:p>
    <w:p>
      <w:r>
        <w:rPr>
          <w:b/>
        </w:rPr>
        <w:t xml:space="preserve">Quelle: </w:t>
      </w:r>
      <w:r>
        <w:t>https://mcp.opencaselaw.ch/entscheid/bvger_C-2466_2008</w:t>
      </w:r>
    </w:p>
    <w:p>
      <w:r>
        <w:t>FR: TAF C-2466/2008 du 27 juin 2011</w:t>
      </w:r>
    </w:p>
    <w:p>
      <w:r>
        <w:t>IT: TAF C-2466/2008 del 27 giugno 2011</w:t>
      </w:r>
    </w:p>
    <w:p>
      <w:pPr>
        <w:pStyle w:val="Heading2"/>
      </w:pPr>
      <w:r>
        <w:t>Regeste</w:t>
      </w:r>
    </w:p>
    <w:p>
      <w:r>
        <w:t>Erleichterte Einbürgerung</w:t>
      </w:r>
    </w:p>
    <w:p>
      <w:pPr>
        <w:pStyle w:val="Heading2"/>
      </w:pPr>
      <w:r>
        <w:t>Erwägungen</w:t>
      </w:r>
    </w:p>
    <w:p>
      <w:r>
        <w:rPr>
          <w:b/>
        </w:rPr>
        <w:t>E. 1.1</w:t>
      </w:r>
    </w:p>
    <w:p>
      <w:r>
        <w:t>Verfügungen des BFM betreffend erleichterte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Die Beschwerdeführerin ist als Wohnsitzgemeinde des Beschwerdegegners nach Art. 51 Abs. 2 BüG zur Beschwerde legitimiert. Zur Führung einer Behördenbeschwerde nach Art. 48 VwVG bzw. Art. 89 des Bundesgerichtsgesetzes vom 17. Juni 2005 (BGG, SR 173.110) ist stets die oberste Exekutivbehörde befugt (vgl. zur Publikation bestimmtes Urteil des Bundesgerichts 8C_930/2010 vom 30. März 2011 E. 1.1 mit Hinweisen, Urteil des Bundesverwaltungsgerichts A-7385/2007 vom 12. März 2008 E. 2.1). Vorliegend wäre dies der Gemeinderat von Z._______. In der Gemeinde Z._______ besteht seit 1. März 2005 eine Einbürgerungskommission, welcher laut revidiertem Art. 33 Bst. a der Gemeindeordnung selbständige Entscheidungskompetenz zukommt. Die Einbürgerungskommission - nicht wie üblicherweise der Gemeinderat und/oder die Gemeindeversammlung - nimmt sämtliche Aufgaben der Gemeinde im Bereich von Einbürgerungsverfahren wahr und trifft Entscheide selbständig. Diese Entscheidungsbefugnis auch auf die prozessuale Vertretung auszudehnen, erscheint gerechtfertigt. Die Einbürgerungskommission beschloss in casu, Beschwerde an das Bundesverwaltungsgericht zu erheben. Sie beauftragte und bevollmächtigte hierzu den Präsidenten der Einbürgerungskommission (vgl. Protokoll Kommissionssitzung vom 9. April 2008). Auf die frist- und formgerechte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des Bundesgerichts 2A.451/2002 vom 28. März 2003 teilweise publiziert in BGE 129 II 215).</w:t>
      </w:r>
    </w:p>
    <w:p>
      <w:r>
        <w:rPr>
          <w:b/>
        </w:rPr>
        <w:t>E. 3</w:t>
      </w:r>
    </w:p>
    <w:p>
      <w:r>
        <w:t>Vor einer materiell-rechtlichen Beurteilung der vorliegenden Streitsache ist in formeller Hinsicht die Rüge der Beschwerdeführerin zu prüfen, die angefochtene Verfügung sei in schwerwiegender Verletzung ihres Anspruchs auf rechtliches Gehör zu Folge fehlender Begründung ergangen, weshalb sie aufzuheben sei.</w:t>
      </w:r>
    </w:p>
    <w:p>
      <w:r>
        <w:rPr>
          <w:b/>
        </w:rPr>
        <w:t>E. 3.1</w:t>
      </w:r>
    </w:p>
    <w:p>
      <w:r>
        <w:t>Der Anspruch auf rechtliches Gehör, wie ihn Lehre und Rechtspre­chung aus Artikel 29 Abs. 2 der Bundesverfassung der Schweizeri­schen Eidgenossenschaft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6. Aufl., Zürich/St. Gallen 2010, Rz. 1672 ff.; Alfred Kölz/Isabelle Häner, Verwaltungsverfahren und Verwal­tungsrechtspflege des Bun­des, 2. Aufl., Zürich 1998, Rz. 129 ff. und 292 ff.; Jörg Paul Müller/Markus Schefer, Grundrechte in der Schweiz, Bern 2008, S. 846 ff.). Auf den Gehörsanspruch als solchen kann nicht verzichtet werden.</w:t>
      </w:r>
    </w:p>
    <w:p>
      <w:r>
        <w:rPr>
          <w:b/>
        </w:rPr>
        <w:t>E. 3.1.1</w:t>
      </w:r>
    </w:p>
    <w:p>
      <w:r>
        <w:t>Die Begründungspflicht der Behörden - als Teilgehalt des Anspruchs auf rechtliches Gehör (vgl. BVGE 2010/35 E. 4.1.2 mit Hin­weisen) - soll verhindern, dass diese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tatbestandlichen Behaup­tung und jedem rechtlichen Einwand auseinandersetzen muss. Viel­mehr kann sie sich auf die für den Entscheid wesentlichen Gesichts­punkte beschränken (BGE 136 I 229 E. 5.2). Die Anforderungen an die Begründung sind umso höher, je weiter der Entscheidungsspielraum der entscheiden­den Be­hörde, je komplexer die Sach- und Rechtslage (vgl. BVGE 2007/27 E. 5.5.2 mit Hinweisen) und namentlich auch je intensiver der Ein­griff in die Stellung des Betroffenen ist (vgl. zum Ganzen Bernhard Waldmann/Jürg Bickel sowie Felix Uhlmann/Alexandra Schwank, in: Bern­hard Waldmann/Philippe Weissenberger [Hrsg.], Pra­xiskommentar VwVG, Zürich 2009, N 52 f. zu Art. 29 und N 20 f. zu Art. 35; ebenso Lorenz Kneubühler, in: Christoph Auer/Markus Müller/Benjamin Schind­ler [Hrsg.], Kommentar zum Bundesgesetz über das Verwaltungsver­fahren [VwVG], Zürich/St. Gallen 2008, Rz. 4 ff. und insb. Rz. 9 ff. zu Art. 35 VwVG).</w:t>
      </w:r>
    </w:p>
    <w:p>
      <w:r>
        <w:rPr>
          <w:b/>
        </w:rPr>
        <w:t>E. 3.1.2</w:t>
      </w:r>
    </w:p>
    <w:p>
      <w:r>
        <w:t>Nach Art. 35 Abs. 3 VwVG kann die verfügende Behörde ausnahmsweise auf eine (schriftliche) Begründung und daraus folgend auch auf die Rechtsmittelbelehrung verzichten, wenn die Behörde den Begehren der Parteien voll entspricht und keine Partei eine Begründung verlangt. Diese Ausnahme entspricht dem verwaltungsökonomischen Bedürfnis, auf eine Begründung und den damit verbundenen Aufwand zu verzichten, wenn der oder die Betroffene die Verfügung ohnehin nicht anfechten will bzw. kann. Sie ist auf erstinstanzliche Verfahren zugeschnitten, ist aber auch dort nicht unproblematisch. Praktikabel ist ein Verzicht auf eine Begründung (und Rechtsmittelbelehrung) bloss bei Verfügungen in Materien, die kaum Aussenwirkungen zeitigen. Der Verzicht auf eine solche ist darüber hinaus aus grundsätzlichen Überlegungen abzulehnen, da vorweg kaum je mit Sicherheit ausgeschlossen werden kann, dass eine positive Verfügung Drittinteressen betreffen könnte. Im Fall, wo eine Spezialgesetzgebung bestimmten Personen, Organisationen oder Behörden ein Beschwerderecht einräumt (Art. 48 Abs. 2 VwVG), ist in der Regel sogar davon auszugehen, dass der Verfügung Widerstand erwachsen könnte, weshalb der Verzicht auf eine Begründung hier generell ausgeschlossen sein dürfte (Verwaltungspraxis des Bundes [VPB 47 1983 Nr. 16, E. II.2]). Falls Drittpersonen von einer positiven Verfügung betroffen sind, sind solche Dritte beschwerdebefugt, und die Wahrnehmung dieses Rechts erfordert die Kenntnis der Entscheidgründe (vgl. zum Ganzen Felix Uhlmann/Alexandra Schwank, a.a.O., N 34 f. zu Art. 35; Lorenz Kneubühler, a.a.O., Rz. 27 f. zu Art. 35 VwVG).</w:t>
      </w:r>
    </w:p>
    <w:p>
      <w:r>
        <w:rPr>
          <w:b/>
        </w:rPr>
        <w:t>E. 3.2</w:t>
      </w:r>
    </w:p>
    <w:p>
      <w:r>
        <w:t>In casu hat die Vorinstanz mit Verfügung vom 2. April 2008 den Gesuchsteller erleichtert eingebürgert. Es liegt folglich eine positive Verfügung vor. Die Vorinstanz führt unter Ziff. 3 (S. 2) ihrer Vernehmlassung vom 29. Mai 2008 aus, der Beschwerdeführerin komme im Verfahren um erleichterte Einbürgerung keine Parteistellung zu. Aus dieser Beurteilung zieht sie den Schluss, die Rüge der Beschwerdeführerin, es mangle der angefochtenen Einbürgerungsverfügung an einer Begründung, wodurch ihr Anspruch auf rechtliches Gehör verletzt worden sei, gehe daher fehl. Gemäss Art. 6 VwVG gelten als Parteien Personen, deren Rechte oder Pflichten die Verfügung berühren soll, und andere Personen, Organisationen oder Behörden, denen ein Rechtsmittel gegen die Verfügung zusteht. Im Weiteren legt Art. 48 Abs. 2 VwVG fest, dass Personen, Organisationen und Behörden, denen ein anderes Bundesgesetz ein Beschwerderecht einräumt, zur Beschwerde berechtigt sind. Das Bürgerrechtsgesetz regelt in Art. 51 Abs. 2 unmissverständlich die Beschwerdelegitimation der betroffenen Kantone und Gemeinden. Aus Art. 6 VwVG i.V.m. Art. 48 Abs. 2 VwVG bzw. i.V.m. Art. 51 Abs. 2 BüG ergibt sich sowohl die Parteistellung als auch die Beschwerdelegitimation der Gemeinde Z._______ im vorliegenden Beschwerdeverfahren. Der Auslegung der Vorinstanz fehlt jegliche gesetzliche Grundlage und sie ist somit fehlerhaft.</w:t>
      </w:r>
    </w:p>
    <w:p>
      <w:r>
        <w:rPr>
          <w:b/>
        </w:rPr>
        <w:t>E. 3.3</w:t>
      </w:r>
    </w:p>
    <w:p>
      <w:r>
        <w:t>Aufgrund der vorangegangenen Ausführungen zum rechtlichen Gehör im Allgemeinen und zur Begründungspflicht im Besonderen folgt, dass die Vorinstanz die Pflicht zur Begründung ihrer Verfügung in offensichtlicher Weise verletzt hat. Neben den Interessen des Betroffenen, die durch das Fehlen einer Begründung unter Umständen nicht beeinträchtigt sind, etwa weil seinen Begehren voll entsprochen wurde (vgl. Art. 35 Abs. 2 VwVG), sind nämlich ebenfalls die Interessen der beschwerdelegitimierten Behörde zu berücksichtigen; auch diese ist in der Regel auf eine Begründung angewiesen, um einen Entscheid sachgerecht anfechten zu können (vgl. Urteil des Bundesgerichts 2A.268/2003 vom 7. Juli 2003, E. 3.2; ebenso René Wiederkehr, Die Begründungspflicht nach Art. 29 Abs. 2 BV und die Heilung bei Verletzung, in: Schweizerisches Zentralblatt für Staats- und Verwaltungsrecht Nr. 9/2010, S. 498; Uhlmann/Schwank, a.a.O., N 35 zu Art. 35; Albertini, a.a.O., S. 422). Bei der Gemeinde Z._______ als beschwerdeberechtigte Behörde mit Parteistellung handelt es sich sodann um eine sogenannte Drittpartei im Sinne von Art. 6 und Art. 48 Abs. 2 VwVG. Als betroffene Drittpartei ist sie deshalb auf eine Begründung angewiesen, um die Verfügung überhaupt sachgemäss anzufechten. Das BFM wäre folglich verpflichtet gewesen, alle Verfahrensbeteiligten - im Sinne eines Minimalstandards - auf die Möglichkeit hinzuweisen, innert laufender Rechtsmittelfrist ein Gesuch um Begründung stellen zu können (vgl. ebenso der Vorschlag von Albertini, a.a.O., S. 422). Für die zukünftige Praxis im Bereich der Einbürgerung bedeutet dies, dass eine positive Verfügung zumindest mit einem entsprechenden Hinweis ergänzt werden muss, um den Ansprüchen der Begründungspflicht gemäss Art. 35 Abs. 3 VwVG zu genügen. Sollte ein solches Gesuch um Begründung der verfügten Einbürgerung von einem Verfahrensbeteiligten nun gestellt werden, wäre die Vorinstanz verpflichtet, aufgrund der Akten, die der internen Entscheidfindung dienten, eine nachvollziehbare Begründung ihres Einbürgerungsentscheides, welche die wesentlichen Entscheidmotive enthält, der gesuchstellenden Partei nachzureichen.</w:t>
      </w:r>
    </w:p>
    <w:p>
      <w:r>
        <w:rPr>
          <w:b/>
        </w:rPr>
        <w:t>E. 4.1</w:t>
      </w:r>
    </w:p>
    <w:p>
      <w:r>
        <w:t>Der Anspruch auf rechtliches Gehör ist formeller Natur. Seine Ver­letzung führt grundsätzlich - ungeachtet der Erfolgsaussichten der Be­schwerde in der Sache selbst -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Rz. 3.110; BGE 5A_791/2010 vom 23. März 2011 E. 2.2 mit Hinweis; BGE 132 V 387 E. 5 S. 390; BGE 127 V 431 E. 3d.aa; BVGE 2010/35 E. 4.1.1 mit Hinweisen, BVGE 2007/27 E. 10.1).</w:t>
      </w:r>
    </w:p>
    <w:p>
      <w:r>
        <w:rPr>
          <w:b/>
        </w:rPr>
        <w:t>E. 4.2</w:t>
      </w:r>
    </w:p>
    <w:p>
      <w:r>
        <w:t>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135 I 279 E. 2.6.1 mit Hinweisen sowie BVGE 2009/61 E. 4.1.3 mit Hinweisen). Nach in der Lehre vertretener Auffassung fällt eine Hei­lung dabei nur in Fällen nicht besonders schwerwiegender Verlet­zungen von Parteirechten in Betracht (vgl. Waldmann/Bickel, a.a.O., N 115 f. zu Art. 29; Sutter, a.a.O., Rz. 21 ff. zu Art. 29; Moser/Beusch/Kneubühler, a.a.O.,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wenn die unnötige Verfahrensverzögerung mit den Interessen der Parteien an einer beförderlichen Behandlung der Sache nicht vereinbar wären (vgl. BGE 5A_791/2010 vom 23. März 2011 E. 2.3.2; BGE 135 I 279 E. 2.6.1; BGE 133 I 201 E. 2.2 S. 204 f.; BGE 132 V 387 E. 5.1 S. 390). Diesen Entscheiden ist seitens der Lehre teilweise heftige Kri­tik erwachsen (vgl. insb. Sutter, a.a.O., Rz. 21 zu Art. 29; vgl. auch Waldmann/Bickel, a.a.O., N 125 ff. zu Art. 29). Die Praxis erachtet jedoch die Heilung des Anspruchs auf rechtliches Gehör jeweils dann als zulässig, sofern die Rechtsmittelinstanz über volle Kognition verfügt, die Begründung im Beschwerdeverfahren nachgeschoben und die Partei dazu angehört wird (Kölz/Häner, a.a.O., Rz. 366).</w:t>
      </w:r>
    </w:p>
    <w:p>
      <w:r>
        <w:rPr>
          <w:b/>
        </w:rPr>
        <w:t>E. 4.2.1</w:t>
      </w:r>
    </w:p>
    <w:p>
      <w:r>
        <w:t>Das Bundesverwaltungsgericht verfügt im vorliegenden Verfah­ren über die gleiche Kognition wie die Vorinstanz und ist zur freien Prüfung aller Sachverhalts- und Rechtsfragen befugt. Eine erste wesentliche Vorausset­zung für die ausnahmsweise Heilung der Verlet­zung des Anspruchs auf recht­liches Gehör ist somit gegeben.</w:t>
      </w:r>
    </w:p>
    <w:p>
      <w:r>
        <w:rPr>
          <w:b/>
        </w:rPr>
        <w:t>E. 4.2.2</w:t>
      </w:r>
    </w:p>
    <w:p>
      <w:r>
        <w:t>Laut neuerer Rechtsprechung des Bundesgerichts sowie Ansicht eines Teils der Lehre, die ebenfalls unabhängig von der Schwere der Gehörsverletzung eine Heilung als möglich erachtet, kann aber von einer Rückweisung der Sache an die Vorinstanz zur Nachholung des rechtlichen Gehörs abgesehen werden, wenn diese am Ergebnis in materieller Hinsicht höchstwahrscheinlich nichts ändern würde. Dieser Ansicht liegt die Idee zugrunde, dass das rechtliche Gehör nicht um seiner selbst willen gilt und die korrekte Durchführung des Verfahrens letztlich der Ermittlung eines gerechten Ergebnisses dient; es soll folglich ein formalistischer Leerlauf vermieden werden (vgl. zum Ganzen René Wiederkehr, a.a.O. S. 501). Aufgrund der bisherigen Ausführungen wird offensichtlich, dass im vorliegenden Fall das rechtliche Gehör in schwerwiegender Weise verletzt worden ist. Die Vorinstanz hat jedoch in ihrer Vernehmlassung vom 29. Mai 2008 eine ausführliche Begründung ihrer positiven Einbürgerungsverfügung vom 2. April 2008 nachgeschoben. Wie der weitere Schriftenwechsel belegt, hat die Beschwerdeführerin im Nachgang die Gelegenheit zur Stellungnahme erhalten.</w:t>
      </w:r>
    </w:p>
    <w:p>
      <w:r>
        <w:rPr>
          <w:b/>
        </w:rPr>
        <w:t>E. 4.3</w:t>
      </w:r>
    </w:p>
    <w:p>
      <w:r>
        <w:t>Zusammenfassend ist daher festzuhalten: Die Verletzung des Anspruchs auf rechtliches Gehör durch die Vorinstanz ist in casu im Rahmen des Beschwerdeverfahrens vor dem Bundesverwaltungsgericht geheilt worden. Mit dieser Heilungsmöglichkeit kann die Vorinstanz fürderhin aber nicht generell rechnen. Sie wird ihre Praxis anzupassen haben (vgl. BVGE 2010/35 E. 4.3.2 mutatis mutandis sowie E. 3.3 oben).</w:t>
      </w:r>
    </w:p>
    <w:p>
      <w:r>
        <w:rPr>
          <w:b/>
        </w:rPr>
        <w:t>E. 5</w:t>
      </w:r>
    </w:p>
    <w:p>
      <w:r>
        <w:t>Nachfolgend ist der vorliegende Fall in materiell-rechtlicher Hinsicht zu beurteilen.</w:t>
      </w:r>
    </w:p>
    <w:p>
      <w:r>
        <w:rPr>
          <w:b/>
        </w:rPr>
        <w:t>E. 5.1</w:t>
      </w:r>
    </w:p>
    <w:p>
      <w:r>
        <w:t>Die in den Art. 27-31b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Die erleichterte Einbürgerung infolge Ehe mit einem Schweizer Bürger gemäss Art. 27 BüG, um die es in der vorliegenden Streitsache geht, verlangt nach dessen Abs. 1 zusätzlich, dass die ausländische Person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Gesucheinreichung als auch anlässlich der Einbürgerungsverfügung erfüllt sein (BGE 135 II 161 E. 2 S. 165 mit Hinweisen). Die besonderen Voraussetzungen von Art. 27 Abs. 1 BüG sind im vorliegenden Fall erfüllt. Der Beschwerdegegner lebte im Zeitpunkt der Einreichung seines zweiten Einbürgerungsgesuchs vom 11. Juli 2005 seit knapp zehn Jahren bzw. im Zeitpunkt der Einbürgerungsverfügung vom 2. April 2008 seit beinahe 13 Jahren in ehelicher Gemeinschaft mit seiner schweizerischen Ehegattin am gemeinsamen Wohnsitz der Familie in der Schweiz.</w:t>
      </w:r>
    </w:p>
    <w:p>
      <w:r>
        <w:rPr>
          <w:b/>
        </w:rPr>
        <w:t>E. 5.2</w:t>
      </w:r>
    </w:p>
    <w:p>
      <w:r>
        <w:t>Der Bund kann die kantonale Einbür­ge­rungs­behörde mit den Er­he­bungen beauftragen, die für die Be­ur­tei­lung der Einbürgerungs­vor­aus­setzungen nötig sind (Art. 37 BüG). Dem Anliegen, bei erleichterten Einbürgerungen ein ver­ein­fach­tes Ver­fah­ren vorzusehen, wurde insbesondere durch Art. 32 BüG Rech­nung ge­tragen, welcher die alleinige Entscheidkompetenz des Bun­des vor­sieht und den Kantonen lediglich ein Anhörungsrecht ein­räumt (vgl. Bot­schaft zur Änderung des Bürgerrechtsgesetzes vom 26. Au­gust 1987, BBl 1987 lll 293 Ziff. 22.13 S. 310). Das Bundesrecht schreibt den Kantonen hingegen nicht vor, in welcher Form und durch welche Gre­mien sie den für die Einbürgerung mass­ge­ben­den Sachverhalt zu er­heben haben. Die Durchführung eines per­sön­li­chen Gesprächs mit Per­sonen, die um die erleichterte Einbürgerung er­suchen, ist vor die­sem Hin­ter­grund grundsätzlich nicht zu be­an­stan­den. Die Erhebung des Sach­ver­halts durch eine kommunale Einbürgerungskommission, wel­che sowohl Gesuche um erleichterte als auch solche um or­dent­li­che Einbürgerungen behandelt, erscheint zumindest dann nicht prob­le­ma­tisch, solange sich die Kommission der unterschiedlichen ge­setz­li­chen Voraussetzungen bewusst ist und bei der Er­mitt­lung des Sach­ver­halts klar zwischen den beiden Ein­bür­ge­rungs­ar­ten un­ter­schei­det (vgl. BVGE 2008/46 E. 5.6.1). Gestützt auf Art. 33 Bst. a der Gemeindeordnung der Gemeinde Z._______ war die Ein­bür­ge­rungs­kommission grundsätzlich be­rech­tigt, den Be­schwer­de­gegner zu ei­nem persönlichen Gespräch vor­zu­laden, um sich ein un­mittel­ba­res Bild über seine Eingliederung in die schwei­ze­rischen Ver­hältnisse ma­chen zu können. Aus dem Gesprächs- und Entscheidprotokoll der Einbürgerungskommission zum Ein­bür­ge­rungs­ge­spräch vom 30. Mai 2007 sowie insbesondere dem Begleitschreiben zum Erhebungsbericht vom 5. Juli 2007 ergeben sich jedoch An­haltspunkte, welche darauf hindeuten, dass die an den Be­schwer­de­gegner gerichteten Fra­gen über die zu prüfenden Voraussetzungen hinausgingen, welche für die erleichterte Einbürgerung gelten. Im Begleitschreiben wird explizit erwähnt, dass die aufgrund des geführten Einbürgerungsgesprächs mit dem Gesuchsteller geprüften Voraussetzungen zur erleichterten Einbürgerung an denjenigen des ordentlichen Einbürgerungsverfahrens gemessen und als unbefriedigend bewertet wurden. Diese Vorgehensweise steht in klarem Widerspruch zum oben Gesagten. Im Folgenden sind die gezogenen Schlussfolgerungen bzw. geltend gemachten Rügen der Beschwerdeführerin genauer zu beurteilen.</w:t>
      </w:r>
    </w:p>
    <w:p>
      <w:r>
        <w:rPr>
          <w:b/>
        </w:rPr>
        <w:t>E. 5.3</w:t>
      </w:r>
    </w:p>
    <w:p>
      <w:r>
        <w:t>Nach Ansicht der Beschwerdeführerin ist der Beschwerdegegner nicht im Sinne von Art. 26 Abs. 1 Bst. a BüG integriert und hat die schweizerische Rechtsordnung nicht genügend beachtet (Art. 26 Abs. 1 Bst. b BüG).</w:t>
      </w:r>
    </w:p>
    <w:p>
      <w:r>
        <w:rPr>
          <w:b/>
        </w:rPr>
        <w:t>E. 5.3.1</w:t>
      </w:r>
    </w:p>
    <w:p>
      <w:r>
        <w:t>Der Begriff der In­tegration wird im schweizerischen Ausländer- und Bür­ger­recht allgemein verstanden als Auf­nahme der ausländi­schen Per­son in die schwei­ze­ri­sche Gemein­schaft und als Bereitschaft der betreffen­den Per­son, sich in das ge­sell­schaft­liche Umfeld ein­zu­fü­gen. Eine Aufgabe der kulturellen Eigenart und der an­gestammten Staats­angehörigkeit wird nicht verlangt (vgl. Botschaft vom 26. Au­gust 1987 zur Än­de­rung des Bürgerrechtsgesetzes, BBl 1987 III 293 Ziff. 22.2 S. 304, sowie Bot­schaft vom 21. No­vem­ber 2001 zum Bür­ger­recht für jun­ge Aus­län­de­rinnen und Aus­länder und zur Re­vi­sion des Bür­gerrechtsgesetzes, BBl 2002 1911 Ziff. 2.2.1.3 S. 1942). Die In­teg­ra­tion wird dabei als ge­gen­seitiger An­nä­herungsprozess zwi­schen der ein­hei­mi­schen und der aus­ländischen Be­völkerung be­trach­tet. Er setzt so­wohl den Wil­len der Auslände­rin­nen und Ausländer zur Ein­gliede­rung als auch die Offenheit der schwei­ze­rischen Bevölkerung vor­aus (vgl. Art. 4 Abs. 3 des Bun­des­ge­set­zes vom 16. De­zember 2005 über Aus­län­de­rinnen und Aus­länder [AuG, SR 142.20]).</w:t>
      </w:r>
    </w:p>
    <w:p>
      <w:r>
        <w:rPr>
          <w:b/>
        </w:rPr>
        <w:t>E. 5.3.2</w:t>
      </w:r>
    </w:p>
    <w:p>
      <w:r>
        <w:t>Auf eine erfolg­rei­che Integration im Sinne von Art. 14 Bst. a BüG bzw. Art. 26 Abs. 1 Bst. a BüG wei­sen - ne­ben dem Vorhan­den­sein ei­nes gu­ten Leumunds - etwa die Fä­hig­keit zu einer selbst­stän­digen Le­bens­führung so­wie das Interesse und die Teil­habe am öf­fent­lichen und so­zialen Le­ben (z.B. in den Be­rei­chen Kul­tur und Sport; Par­ti­zi­pa­ti­on an Ver­an­stal­tungen im Quar­tier oder Dorf etc.) hin (vgl. Botschaft vom 21. No­vem­ber 2001 zum Bür­ger­recht für jun­ge Auslände­rinnen und Aus­länder und zur Revision des Bür­ger­rechts­gesetzes, BBl 2002 1911 Ziff. 2.2.1.3 S. 1943). Den Sprach­kennt­nissen kommt dabei die Funk­ti­on einer eigentlichen Schlüs­sel­kom­petenz zu, weil in aller Regel nur da­mit jemand über­haupt in die La­ge versetzt wird, am wirtschaftlichen und sozialen Le­ben des Gast­lan­des aktiv teilzu­nehmen und sich auf die­se Weise zu in­tegrieren (vgl. BVGE 2008/46 E. 5.2.2 mit Hinweisen). Das Er­ler­nen einer Lan­des­spra­che stellt daher ein wich­ti­ges Ele­ment der Integration dar (vgl. auch Art. 4 Abs. 4 AuG und Art. 4 Bst. b der Ver­ordnung vom 24. Ok­to­ber 2007 über die Integ­ra­ti­on von Aus­län­de­rin­nen und Aus­län­dern [VIntA, SR 142.205]) und feh­len­de Kenntnisse der vor Ort gespro­che­nen Lan­des­spra­che können als Indiz für eine mangelnde Integration ver­standen wer­den (vgl. BGE 134 I 56 E. 3 S. 59).</w:t>
      </w:r>
    </w:p>
    <w:p>
      <w:r>
        <w:rPr>
          <w:b/>
        </w:rPr>
        <w:t>E. 5.3.2.1</w:t>
      </w:r>
    </w:p>
    <w:p>
      <w:r>
        <w:t>Aus den Akten ergibt sich, dass gegen den Beschwerdegegner keine ungelöschten Vorstrafen bestehen und keine Strafverfahren hängig sind (vgl. hierzu ausführlich hinten Ziff. 5.3.4). Er ist bei den Vormundschafts- und Fürsorgebehörden nicht bekannt, es liegen keine Betreibungen oder Verlustscheine gegen ihn vor und es bestehen auch keine Steuerrückstände.</w:t>
      </w:r>
    </w:p>
    <w:p>
      <w:r>
        <w:rPr>
          <w:b/>
        </w:rPr>
        <w:t>E. 5.3.2.2</w:t>
      </w:r>
    </w:p>
    <w:p>
      <w:r>
        <w:t>Die Beschwerdeführerin spricht dem Beschwerdegegner ab, sich sozial und wirtschaftlich genügend integriert zu haben und wirft der Vorinstanz willkürliche Entscheidfindung vor. Nach Ansicht des Bundesverwaltungsgericht hält diese Beurteilung in verschiedener Hinsicht nicht stand und entbehrt auch einer gewissen Objektivität. Der Beschwerdegegner ist seit 1995 mit einer Schweizer Staatsbürgerin verheiratet und hat mit ihr eine gemeinsame bald 13-jährige Tochter. Gemäss den Akten und auch laut Erhebungsbericht der Einbürgerungskommission liegen keinerlei Hinweise vor, dass die Ehegatten jemals nicht in einer tatsächlichen ehelichen Gemeinschaft lebten. Allein schon die familiäre Konstellation lässt eine gute soziale Integration des Beschwerdegegners über die Jahre hinweg vermuten, dies sowohl in kultureller als auch in sprachlicher Hinsicht. Das Einbürgerungsgespräch konnte ohne nennenswerte Verständigungsschwierigkeiten mit dem Gesuchsteller in Deutsch geführt werden. Die Einbürgerungskommission spricht denn auch ausdrücklich in ihrem Gesprächs- und Entscheidprotokoll zum Ein­bür­ge­rungs­ge­spräch vom 30. Mai 2007 (S. 13) sowie im Begleitschreiben zum Erhebungsbericht vom 5. Juli 2007 dem Gesuchsteller genügende Sprachkenntnisse nicht ab. In Anlehnung an das Referenzsystem des Europarates für das Sprachenlernen (Common European Framework of Reference for Languages [CEFR] = Gemeinsamer Europäischer Referenzrahmen [GER]) bewertete die Einbürgerungskommission die sprachlichen Fertigkeiten des Gesuchstellers tendenziös zwar als knapp genügend und mit Bezug auf seine längere Anwesenheitsdauer in der Schweiz sowie dessen Bildungshintergrund als ernüchternd bzw. nicht befriedigend. Trotz diesen über die längere Anwesenheitsdauer hinweg betrachtet möglicherweise eher langsamen sprachlichen Fortschritte erfüllt der Beschwerdegegner zweifellos das Kriterium der sprachlichen Schlüsselkompetenz, um am sozialen und wirtschaftlichen Leben teilzunehmen und sich aktiv zu integrieren. Betreffend seine soziale Integration ist auch sein regelmässiger Besuch einer Kirchgemeinde zu erwähnen. Im Zusammenhang mit seinem christlichen Glauben, zu welchem er vor etwa 19 Jahren konvertierte, engagiert er sich in seiner Freizeit schon seit längerem für seine eigenen Landsleute. Dass er sich dabei vorwiegend seiner Muttersprache bedient, tut seinem Integrationswillen bzw. seiner Integrationsfähigkeit jedoch keinerlei Abbruch. So unterhält der Beschwerdegegner nämlich auch vielfältige Kontakte zur schweizerischen Bevölkerung. Der Beschwerdegegner hat insgesamt sieben Referenzschreiben von schweizerischen Freunden und Bekannten im Rahmen des vorinstanzlichen Verfahrens zu den Akten gereicht. Diese Auskünfte sind mehrheitlich als relativ substanziiert zu bezeichnen und ergeben ein kohärentes und differenziertes Bild der persönlichen Situation des Beschwerdegegners. Auch wenn davon auszugehen ist, dass ein Bürgerrechtsbewerber in aller Regel nur Referenzen von ihm wohlgesinnten Personen zu den Akten reichen wird, schliesst dieser Umstand nicht aus, dass aus den entsprechenden Auskünften zuverlässige Rückschlüsse auf die Integrationsbemühungen und den Integrationsgrad der betreffenden Person gezogen werden können, was im vorliegenden Fall auch zutrifft. Der Beschwerdegegner lebt mit seiner Familie nun schon seit fast 15 Jahren in Z._______ und hat sich vor Ort auch eine selbständige Erwerbstätigkeit aufgebaut (vgl. hierzu mehr im nachfolgenden Abschnitt), durch die er täglich mit der schweizerischen Bevölkerung in Kontakt kommt. Der Beschwerdegegner fühlt sich offenbar auch relativ stark mit seinem Wohnort verbunden. In beruflicher Hinsicht hat sich der Beschwerdegegner nach einigen Erfahrungen im Angestelltenverhältnis (vgl. hierzu Arbeitszeugnisse für die Jahre 2000-2003) im Jahr 2004 selbständig gemacht und führte bis Herbst 2008 ein Modegeschäft im Zentrum von Z._______. Aufgrund wirtschaftlicher Überlegungen gab er seine Boutique auf und eröffnete kurz darauf in derselben Lokalität ein türkisches Kleinrestaurant, welches er bis zum heutigen Zeitpunkt führt. Gleichzeitig betreibt er - als selbständige Nebenbeschäftigung - schon seit mehreren Jahren jeweils während den Sommermonaten einen Kiosk in der örtlichen Badeanstalt. Der Beschwerdegegner ist jederzeit - auch mit Hilfe der ebenfalls erwerbstätigen Ehegattin (Logopädin) - vollumfänglich für den Unterhalt seiner Familie aufgekommen; ebensolches gilt für die übrigen finanziellen Verpflichtungen. Der Einwand der Beschwerdeführerin, dem Gesuchsteller fehle der Wille zur Teilnahme am Wirtschaftleben, entbehrt jeglicher Grundlage. Zudem ist der Vorinstanz und dem Rechtsvertreter des Beschwerdegegners beizupflichten, dass es der Beschwerdeführerin nicht zusteht, zu beurteilen, ob der Gesuchsteller eine selbständige Erwerbstätigkeit ausüben darf oder nicht, und zwar unabhängig von deren wirtschaftlichem Erfolg. Die übrigen Ausführungen der Beschwerdeführerin, welche die wirtschaftliche Integration des Gesuchstellers in Frage stellen, bleiben aufgrund der geschilderten Fakten unbeachtlich.</w:t>
      </w:r>
    </w:p>
    <w:p>
      <w:r>
        <w:rPr>
          <w:b/>
        </w:rPr>
        <w:t>E. 5.3.2.3</w:t>
      </w:r>
    </w:p>
    <w:p>
      <w:r>
        <w:t>Dem Beschwerdegegner ist somit die Fähigkeit zur selbständigen Lebensführung sowie interessierten Teilhabe am öffentlichen und sozialen Leben vorbehaltslos zu attestieren.</w:t>
      </w:r>
    </w:p>
    <w:p>
      <w:r>
        <w:rPr>
          <w:b/>
        </w:rPr>
        <w:t>E. 5.3.3</w:t>
      </w:r>
    </w:p>
    <w:p>
      <w:r>
        <w:t>Im Gegensatz zur erleichterten Einbürgerung verlangt Art. 14 Bst. b BüG bei der ordentlichen Einbürgerung neben der Eingliederung in die schweizerischen Ver­hält­nis­se zusätz­lich, dass die ge­such­stel­len­de Person mit den schwei­zerischen Le­bens­ge­wohn­hei­ten, Sitten und Ge­bräuchen vertraut ("ac­cou­tumé", "familiarizzato") ist. Eine sol­che Ver­trautheit ist eine Fol­ge der Integration im Sinne von Art. 14 Bst. a BüG bzw. Art. 26 Abs. 1 Bst. a BüG. Sie entspricht einer höheren Stu­fe der Über­nahme schweizerischer Lebensart und setzt gewisse Kennt­nisse über das Land und insbesondere die Sprache voraus (Cé­line Gutz­wil­ler, Droit de la nationalité et fédéralisme en Suisse, Genf/Zü­rich/Basel 2008, Nr. 557). Die gesetzlichen Anforderungen sind bei der or­dent­li­chen Einbürgerung zudem insofern strenger, als Art. 14 BüG - anders als Art. 26 Abs. 1 BüG - keine abschlies­sen­de Aufzählung der Einbür­ge­rungs­voraus­set­zun­gen enthält. Diese Un­terschiede sind da­rin be­grün­det, dass der Gesetzgeber dem aus­län­di­schen Ehe­gat­ten ei­nes Schwei­zer Bür­gers bzw. einer Schweizer Bür­ge­rin die Ein­bür­ge­rung un­ter erleichterten Be­dingungen er­mög­lichen wollte, um die Ein­heit des Bürger­rechts der Ehe­gatten im Hin­blick auf ihre gemeinsame Zu­kunft zu för­dern (vgl. BGE 129 II 401 E. 2.5 S. 404 mit Hinweis, sowie Bot­schaft vom 27. Au­gust 1987 zur Änderung des Bürgerrechtsgeset­zes, BBl 1987 III 293 Ziff. 22.13 S. 310). Obwohl das Gesetz sowohl in Art. 14 Bst. a BüG als auch in Art. 26 Abs. 1 Bst. a BüG die In­tegration der gesuch­stel­lenden Person verlangt, kann die­ser un­be­stimm­te Rechts­begriff bei der erleichterten Einbürgerung schliess­lich mil­der aus­gelegt werden, da in diesen Fällen aufgrund der Ehe mit ei­nem Schwei­zer Bürger bzw. einer Schweizer Bürgerin vermutungsweise be­reits eine enge Bindung zur Schweiz besteht (Gutzwiller, a.a.O., Nr. 567). Aus diesen Ausführungen geht unmissverständlich hervor, welches die zielführenden Überlegungen des Gesetzgebers bei der Einführung der erleichterten Einbürgerung ausländischer Ehegatten von Schweizer Bürgern waren. Der Gesetzgeber hat bewusst darauf verzichtet, von ausländischen Ehegatten von Schweizer Bürgern dieselben Voraussetzungen für die Erteilung des Schweizer Bürgerrechts zu verlangen wie im ordentlichen Einbürgerungsverfahren. Das Erfordernis des Vertrautseins mit den schweizerischen Lebensgewohnheiten, Sitten und Gebräuchen, wie dies Art. 14 Bst. b BüG für die ordentliche Einbürgerung verlangt, gilt nicht für die erleichterte Einbürgerung nach Art. 26 BüG. Die Vorinstanz stellt richtigerweise fest, dass ein Grossteil der von der Einbürgerungskommission an den Gesuchsteller gestellten Fragen den Themenbereich des "Vertrautseins mit den schweizerischen Lebensgewohnheiten, Sitten und Gebräuchen" betreffen (d.h. geografische und staatsbürgerliche Kenntnisse), welcher ausdrücklich nicht Gegenstand der Prüfung der Voraussetzungen einer erleichterten Einbürgerung ist. Die Einbürgerungskommission hat in casu folglich einen zu strengen Massstab angewendet (vgl. auch vorne Ziff. 5.2). Im Übrigen geht es auch nicht an, mit Bezugnahme auf das Ausländergesetz (AuG) und die Verordnung über die Integration der Ausländerinnen und Ausländer (VIntA) eine scheinbar legitime Rechtsgrundlage zur Anwendung der strengeren Voraussetzungen der ordentlichen Einbürgerung zu schaffen.</w:t>
      </w:r>
    </w:p>
    <w:p>
      <w:r>
        <w:rPr>
          <w:b/>
        </w:rPr>
        <w:t>E. 5.3.4</w:t>
      </w:r>
    </w:p>
    <w:p>
      <w:r>
        <w:t>Im Weiteren macht die Beschwerdeführerin geltend, der Beschwerdegegner habe in der Vergangenheit die schweizerische Rechtsordnung nicht genügend beachtet (Art. 26 Abs. 1 Bst. b BüG). Sie bezieht sich dabei auf eine Verurteilung des Gesuchstellers wegen Fahrens in angetrunkenem Zustand und Exhibitionismus zu einer bedingt ausgesprochenen Haftstrafe von acht Wochen bei einer Probezeit von drei Jahren sowie einer Busse von Fr. 2'000.-- (Urteil vom 13. Dezember 2001). Ausserdem verweist sie auf ein Verfahren im Mai 2005 (Vorwurf der sexuellen Belästigung), welches jedoch mit einer Nichtanhandnahmeverfügung abgeschlossen wurde. Gemäss vorinstanzlicher Praxis setzt das Beachten der schweizerischen Rechtsordnung voraus, dass gegen den betroffenen Gesuchsteller keine ungelöschten Vorstrafen bestehen und keinerlei Strafverfahren gegen ihn hängig sind. Diese Einbürgerungspraxis sieht zudem vor, trotz bestehendem Strafregistereintrag eine Einbürgerung ausnahmsweise zuzulassen, falls es sich um eine Verurteilung zu einer bedingten kurzen Haftstrafe oder eine Geldstrafe handelt (vgl. zum Ganzen "Beachten der schweizerischen Rechtsordnung: Vorstrafen", Informationen der Sektion Bürgerrecht an die für die Einbürgerung zuständigen kantonalen Behörden, S. 5 f. [Weisungen zu Vorstrafen]). Tatsache ist, dass der Beschwerdegegner seit der Verurteilung vom 13. Dezember 2001 sich nichts mehr hat zu Schulden kommen lassen. Die dreijährige Probezeit seiner Verurteilung ist längstens abgelaufen und es liegen auch keine hängigen Strafverfahren gegen ihn vor. Wie der Rechtsvertreter des Beschwerdegegners zu Recht festhält, hatte die Vorinstanz zum Zeitpunkt ihres positiven Einbürgerungsentscheides Kenntnis von dessen Verurteilung. Die Rüge der Beschwerdeführerin, die Vorinstanz habe diese Umstände bei ihrem Entscheid unberücksichtigt gelassen, ist aufgrund der Faktenlage völlig aus der Luft gegriffen. Die Schilderung und Würdigung eines aktenkundigen Vorfalls, der sich am 13. Mai 2005 in der örtlichen Badeanstalt ereignete, ist ebenfalls belanglos. Unschwer lässt sich hinter den diesbezüglichen Ausführungen der Beschwerdeführerin und ihren gezogenen Schlussfolgerungen, der Gesuchsteller sei nur mangelhaft integriert, eher eine negative Haltung als die notwendige Objektivität und Sachlichkeit erkennen. Faktum ist, dass der von zwei jungen Frauen eingereichte und gegen den Beschwerdegegner gerichtete Strafantrag wegen sexueller Belästigung durch den Bezirksstatthalter (A._______) mit Verfügung vom 17. Juni 2005 abgelehnt worden ist. In der Nichtanhandnahmeverfügung wird unmissverständlich festgehalten, es fehle der behaupteten sexuellen Belästigung am subjektiven Tatbestand. Das Verhalten der Klägerinnen - sie willigten ein, vom Beschwerdeführer mit Sonnencrème einmassiert zu werden - wurde als provokativ und eventuell gar ein wenig naiv qualifiziert. Schliesslich erscheine es als sehr stossend, wenn im Nachhinein der vorgefallene Sachverhalt als sexuelle Belästigung dargestellt würde, mit dem Antrag, den Angeschuldigten zu bestrafen. Die Beschwerdeführerin legt in diesem Zusammenhang dem Beschwerdegegner zudem zur Last, er habe sein Verhalten mit einer Lüge, er sei gelernter Masseur, zu rechtfertigen versucht. Auch diese Bezichtigung zielt ins Leere, hat der Beschwerdegegner doch im Rahmen des Beschwerdeverfahrens ein Ausbildungsdiplom mit kantonaler Bewilligung für Massage zu den Akten gereicht. Die Beschwerdeführerin versucht - jedoch erfolglos - einen Zusammenhang zwischen dem Vorfall in der Badeanstalt und der heute fast zehn Jahre zurückliegenden Verurteilung wegen Exhibitionismus zu konstruieren. Weiterer Ausführungen bedarf es dazu nicht.</w:t>
      </w:r>
    </w:p>
    <w:p>
      <w:r>
        <w:rPr>
          <w:b/>
        </w:rPr>
        <w:t>E. 5.4</w:t>
      </w:r>
    </w:p>
    <w:p>
      <w:r>
        <w:t>Im Rahmen einer Gesamtwürdigung gelangt das Bundesverwaltungsgericht aufgrund der vorliegenden Akten zum Schluss, dass der Beschwerdegegner sowohl in der Schweiz im Sinne von Art. 26 Abs. 1 Bst. a BüG integriert ist als auch die schweizerische Rechtsordnung gemäss Art. 26 Abs. 1 Bst. b BüG genügend beachtet hat. Der Beschwerdegegner hat seit seiner Einreise bzw. Heirat mit einer Schweizer Staatsbürgerin diverse Integrationsbemühungen unternommen. Die Beschwerdeführerin geht, insbesondere was die Bewertung dieser Anstrengungen angeht, eindeutig und in ungerechtfertigter Weise von einem zu strengen Massstab aus.</w:t>
      </w:r>
    </w:p>
    <w:p>
      <w:r>
        <w:rPr>
          <w:b/>
        </w:rPr>
        <w:t>E. 6</w:t>
      </w:r>
    </w:p>
    <w:p>
      <w:r>
        <w:t>Schliess­lich liegen auch keinerlei Anhaltspunkte für eine Gefährdung der in­ne­ren oder äusseren Sicherheit der Schweiz (Art. 26 Abs. 1 Bst. c BüG) vor, womit auch die dritte Voraussetzung für die erleichterte Einbürgerung des Beschwerdegegners erfüllt ist.</w:t>
      </w:r>
    </w:p>
    <w:p>
      <w:r>
        <w:rPr>
          <w:b/>
        </w:rPr>
        <w:t>E. 7</w:t>
      </w:r>
    </w:p>
    <w:p>
      <w:r>
        <w:t>Aus den vorstehenden Gründen folgt, dass die angefochtene Verfügung zu Recht ergangen ist (Art. 49 VwVG). Die Beschwerde ist daher abzuweisen.</w:t>
      </w:r>
    </w:p>
    <w:p>
      <w:r>
        <w:rPr>
          <w:b/>
        </w:rPr>
        <w:t>E. 8</w:t>
      </w:r>
    </w:p>
    <w:p>
      <w:r>
        <w:t>Die vorliegende Streitsache hat keine vermögensrechtlichen Interessen zum Gegenstand. Der Beschwerdeführerin als öffentlich-rechtlicher Körperschaft sind deshalb trotz Unterliegens keine Verfahrenskosten aufzuerlegen (Art. 63 Abs. 2 VwVG).</w:t>
      </w:r>
    </w:p>
    <w:p>
      <w:r>
        <w:rPr>
          <w:b/>
        </w:rPr>
        <w:t>E. 9</w:t>
      </w:r>
    </w:p>
    <w:p>
      <w:r>
        <w:t>Im vorliegenden Verfahren standen die Rechte des Beschwerdegegners auf dem Spiel. Gezwungenerweise sah er sich zur Verfahrensteilnahme veranlasst. Ihm sind durch die Beteiligung am Beschwerdeverfahren infolge des notwendig gewordenen Beizugs einer rechtskundigen Fachperson (Rechtsvertretung durch Herrn lic. iur. Rechtsanwalt Federico A. Pedrazzini) erhebliche Kosten erwachsen. Dem mit seinen Begehren obsiegenden Beschwerdegegner ist zu Lasten der Beschwerdeführerin (Politische Gemeinde Z._______) eine Parteientschädigung von Fr. 2'800.-- (inkl. MWST) zuzusprechen (Art. 64 Abs. 2 in fine VwVG, Art. 8, 9 und 10 sowie Art. 14 Abs. 2 des Reglements vom 21. Februar 2008 über die Kosten und Entschädigungen vor dem Bundesverwaltungsgericht [VGKE, SR 173.320.2]; vgl. auch Alfred Kölz / Isabelle Häner, a.a.O., Rz. 683).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