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C-2463/2013 vom 7. Mai 2015</w:t>
      </w:r>
    </w:p>
    <w:p>
      <w:r>
        <w:t>Bundesverwaltungsgericht, 2015-05-07, FR</w:t>
      </w:r>
    </w:p>
    <w:p>
      <w:r>
        <w:rPr>
          <w:b/>
        </w:rPr>
        <w:t xml:space="preserve">Quelle: </w:t>
      </w:r>
      <w:r>
        <w:t>https://mcp.opencaselaw.ch/entscheid/bvger_C-2463_2013</w:t>
      </w:r>
    </w:p>
    <w:p>
      <w:r>
        <w:t>FR: TAF C-2463/2013 du 7 mai 2015</w:t>
      </w:r>
    </w:p>
    <w:p>
      <w:r>
        <w:t>IT: TAF C-2463/2013 del 7 maggio 2015</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ATAF 2010/5 consid. 2 et les références citées). Il s'ensuit que l'objet du présent litige est limité à la seule question de l'interdiction d'entrée en Suisse. Partant, les allégations formulées dans le mémoire ampliatif du 5 juillet 2013, tendant à déterminer si la révocation de "l'autorisation d'établissement" se justifiait, sont extrinsèques à l'objet du présent litige, la question de la poursuite du séjour et du renvoi de Suisse de l'intéressé ayant, au demeurant, déjà fait l'objet d'un examen par les autorités valaisannes compétentes dans leur décision du 13 novembre 2012, qui est entrée en force faute de recours. 4.1 L'interdiction d'entrée, qui permet d'empêcher l'entrée ou le retour en Suisse (respectivement dans l'Espace Schengen) d'un étranger dont le sé­jour y est indésirable, est régie par l'art. 67 LEtr, dans sa teneur en vigueur depuis le 1er janvier 2011 (RO 2010 5925 [5929, 5933]). 4.2 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4.3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 4.4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 5.1 Dans la mesure où le recourant, en tant que citoyen français, est un ressortissant communautaire, il convient de vérifier si la mesure d'éloi­gne­ment prononcée à son endroit est conforme à l'ALCP. 5.2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5.2.1 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5.3 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w:t>
      </w:r>
    </w:p>
    <w:p>
      <w:r>
        <w:rPr>
          <w:b/>
        </w:rPr>
        <w:t>E. 6.1</w:t>
      </w:r>
    </w:p>
    <w:p>
      <w:r>
        <w:t>A l'examen du dossier, il appert que X._______ a été condamné en France le 19 janvier 2005 par le Tribunal correctionnel de Castres à la peine de huit mois d'emprisonnement avec sursis pour vol aggravé par deux circonstances, vol, vol en réunion et tentative de vol aggravé par deux circonstances. Ce premier jugement a été suivi, quelques années plus tard, par un deuxième pour des faits plus graves. En effet, par jugement du 23 août 2012, le Tribunal du IIIe arrondissement pour le district de Martigny a condamné l'intéressé à une peine privative de liberté d'une durée de 36 mois avec sursis partiel (la peine à exécuter étant de 18 mois sous déduction de 213 jours de détention préventive) et délai d'épreuve de 3 ans s'agissant de la partie de la peine suspendue, ainsi qu'à une amende contraventionnelle de 500 francs, en retenant contre lui principalement de s'être livré à un trafic de marijuana de "types indoor et outdoor" entre le début de l'année 2011 et le mois de janvier 2012, écoulant tantôt sa propre production, tantôt celle d'un tiers, et d'avoir de ce fait réalisé pour la période courant d'avril/mai à décembre 2011 un bénéfice total de 55'000 francs pour financer son train de vie. Le tribunal précité a aussi relevé que l'intéressé avait admis avoir consommé depuis 2010 à des fins personnelles de la marijuana quasi quotidiennement jusqu'à son interpellation le 24 janvier 2012 et d'avoir détenu sans autorisation un fusil d'assaut dont le numéro de série avait été limé. Dans ce jugement, il a notamment été constaté que les quantités de marijuana respectivement cultivée personnellement ("indoor") puis cédée et acquise à un tiers puis revendue, étaient importantes (soit respectivement 3,5 kg [dont 500 grammes pour la propre consommation] et 12 à 15 kg), tout comme le bénéfice réalisé (qui s'est monté à 55'000 francs), et que l'intéressé a dilapidé entièrement cette somme en menant grand train de vie, alors qu'il se trouvait au chômage depuis le début de l'année 2012. Les agissements coupables du recourant n'ont connu un terme que par son arrestation au mois de janvier 2012. Il a été retenu que les mobiles de l'intéressé, qui s'était livré, en bande et par métier, à un trafic de marijuana n'avaient rien de reluisant, puisque celui-ci avait de toute évidence agi dans un dessein de lucre, autrement dit dans le seul but de réaliser d'importants bénéfices et de s'assurer un train de vie élevé, qu'il n'aurait normalement pas pu se permettre. L'intéressé a d'ailleurs confirmé ce qui précède en indiquant avoir utilisé la somme de ses gains "pour mener la grande vie, palaces, hôtels, restaurants et sorties festives" [cf. jugement du 23 août 2012, ch. 1.3.2 b) cc), p. 17], ainsi que pour assurer dans une moindre mesure sa consommation personnelle de marijuana. L'autorité pénale a également relevé que les déclarations du prévenu avaient par ailleurs évolué au cours de l'enquête, au fur et à mesure que le matériel destiné à la production avait été retrouvé et séquestré et que d'autres personnes impliquées avaient fait leurs propres révélations, au point que les faits essentiels pour dresser l'acte d'accusation n'avaient été admis qu'au troisième interrogatoire du prévenu, après que ce dernier ait passé une dizaine de jours en détention.</w:t>
      </w:r>
    </w:p>
    <w:p>
      <w:r>
        <w:rPr>
          <w:b/>
        </w:rPr>
        <w:t>E. 6.2</w:t>
      </w:r>
    </w:p>
    <w:p>
      <w:r>
        <w:t>Il est patent que les infractions reprochées au recourant - au regard de leur nature et de leur gravité - sont non seulement constitutives d'un trouble à l'ordre social, mais également de nature à présenter objective­ment une menace réelle pouvant affecter gravement un intérêt fon­damental de la société. C'est le lieu de rappeler que la pratique sévère adoptée par les autorités helvétiques à l'égard des personnes qui sont mêlées de près ou de loin au trafic de stupéfiants correspond à celle de la Cour européenne des droits de l'homme (cf. consid. 5.2.1 in fine supra), qui admet que la pro­tection de la collectivité face au développement de ce marché répond à un intérêt public majeur justifiant l'expulsion (respectivement l'éloigne­ment) de ceux qui contribuent activement à la propagation de ce fléau, surtout s'ils ne sont pas eux-mêmes consommateurs de drogue, mais agissent par pur appât du gain. Les étrangers qui commettent des infrac­tions à la législation sur les stupéfiants d'une certaine gravité doivent dès lors s'attendre à des mesures d'éloi­gnement et ce, à plus forte raison, en cas de récidive (cf. ATF 139 I 31 consid. 2.3.2, 129 II 215 consid. 7, 125 II 521 consid. 4a/aa; arrêts du TF 2C_139/2014 précité consid. 4.3, 2C_199/2013 du 23 juillet 2013 consid. 3.1, 2C_210/2011 du 20 septem­bre 2011 consid. 4.1, et la jurisprudence citée).</w:t>
      </w:r>
    </w:p>
    <w:p>
      <w:r>
        <w:rPr>
          <w:b/>
        </w:rPr>
        <w:t>E. 6.3</w:t>
      </w:r>
    </w:p>
    <w:p>
      <w:r>
        <w:t>Il convient par ailleurs d'admettre que la menace présentée par le re­courant pour l'ordre et la sécurité publics est toujours d'actualité. Il est effet significatif de constater que le recourant, après avoir été condamné en France en 2005 à huit mois d'emprisonnement pour vol aggravé par deux circonstances, vol, vol en réunion et tentative de vol aggravé par deux circonstances, a obtenu une autorisation de séjour en Suisse en 2009 en omettant sciemment de signaler ses antécédents judiciaires, alors même qu'il était tenu de le faire (cf. consid. A.b). Or, la dissimulation de condamnations peut être considérée comme un indice en faveur de l'existence d'une menace actuelle (cf. arrêt du Tribunal fédéral 2C_932/2010 du 24 mai 2011 consid. 4.1 et jurisprudence citée), ce d'autant que le recourant, alors même qu'il venait en Suisse y travailler, n'a pas hésité à se livrer, en bande et par métier, à un trafic de stupéfiants principalement pour des motifs de lucre, ce qui lui a valu la condamnation du 23 août 2012 précitée. Par ces actes délictueux, l'intéressé a clairement montré qu'il éprouvait de sérieuses difficultés à se conformer à l'ordre éta­bli, voire qu'il en était incapable ou n'en avait pas la volonté. A cela s'ajoute que le tribunal pénal valaisan a relevé que, "tenant compte des aveux non immédiats de l'intéressé, du fait qu'il a agi pour financer son train de vie pendant plusieurs mois, qu'il s'est volontiers fait passer pour un caïd en cours d'enquête ("parrain") et qu'il était lui-même un consommateur quasi quotidien de marijuana - indices corroborant une certaine installation dans la délinquance - la perspective qu'il ne commette plus d'infractions, singulièrement dans le domaine des stupéfiants, n'est de loin pas nulle" [cf. jugement du 23 août 2012, ch. 1.4 b), p. 21]. Dans ces conditions, compte tenu du bref laps de temps qui s'est écoulé depuis sa libération et son départ de Suisse (en date du 26 juillet 2013), on ne saurait considérer que le recourant - à supposer qu'il n'ait plus commis d'actes punissables dans l'intervalle - ait déjà démontré qu'il ne représentait plus une menace actuelle pour l'ordre et la sécurité publics. Dans ce contexte, il sied de relever que l'attitude correcte d'un condamné durant l'exécution d'une peine ou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arrêt du TF 2C_139/2014 du 4 juillet 2014 consid. 4.4, et la juris­pru­dence citée).</w:t>
      </w:r>
    </w:p>
    <w:p>
      <w:r>
        <w:rPr>
          <w:b/>
        </w:rPr>
        <w:t>E. 6.4</w:t>
      </w:r>
    </w:p>
    <w:p>
      <w:r>
        <w:t>Force est dès lors de constater que le recourant a violé de manière importante et répétée des prescriptions légales ayant été édictées dans le but de maintenir la sécurité et l'ordre publics (cf. art. 67 al. 2 let. a LEtr) et que son comportement est suscept­ible de représenter, encore actuellement, une menace réelle et suffisam­ment grave pour l'ordre public pour justifier une mesure au sens de l'art. 5 par. 1 annexe I ALCP.</w:t>
      </w:r>
    </w:p>
    <w:p>
      <w:r>
        <w:rPr>
          <w:b/>
        </w:rPr>
        <w:t>E. 6.5</w:t>
      </w:r>
    </w:p>
    <w:p>
      <w:r>
        <w:t>Sur le principe, l'interdiction d'entrée prononcée le 16 avril 2013 à l'encontre de l'intéressé s'avère donc parfaitement justifiée, tant du point de vue du droit interne qu'à la lumière de la réglementation communautaire et de la jurisprudence y relative. 7.1 A ce stade, il sied encore de vérifier si le prononcé à l'endroit du re­courant d'une interdiction d'entrée d'une durée supérieure à cinq ans était justifié à la lumière de l'art. 67 al. 3 2ème phrase LEtr et des principes dégagés par la jurisprudence. 7.2 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7.3 En l'occurrence, comme on l'a vu, le recourant a fait l'objet de deux condamnations pénales, dont l'une à une peine privative de longue durée pour trafic de stupéfiants. Ainsi qu'il ressort des pièces du dossier (cf. consid. 6.1 à 6.3 supra), l'intéressé s'est adonné à un trafic de stupéfiants portant sur des quantités de drogue dépassant largement un chiffre d'affaires de 100'000 francs et/ou un gain de 10'000 francs, seuil ayant été fixé par la jurispruden­ce pour définir le cas grave (cf. ATF 129 IV 188 consid. 3.1 et 129 IV 253 consid. 2.2, jurisprudence récemment confirmée par l'arrêt du TF 6B_883/2013 du 17 février 2014 consid. 2.2), si bien que la circonstance aggravante du métier, au sens de l'art. 19 al. 2 let. b et c LStup a été retenue (cf. jugement du 23 août 2012, ch. 1.3.2 b) cc), p. 17). Le dossier révèle également que le recourant a agi, pour l'essentiel, par appât du gain [cf. jugement du 23 août 2012, ch. 1.3.2 b) aa), p. 16]. En outre, en dépit d'une première condamnation en France pour des vols, l'intéressé n'a pas hésité à commettre de graves infractions à la légis­lation sur les stupéfiants, alors même qu'il était en Suisse au bénéfice d'une autorisation de séjour délivrée par les autorités valaisannes compétentes et qu'il exerçait une activité lucrative lui permettant de subvenir à ses besoins, démontrant par là qu'il ne voulait pas ou n'était pas capable de s'adapter à l'ordre établi en Suisse. 7.4 Dans ces conditions, il convient d'admettre que le recourant - compte tenu de l'activité délictuelle qu'il a déployée à partir de 2011, de la gravité intrinsèque des infractions qu'il a commises et de son incapacité à se conformer à l'ordre établi, alors même qu'il avait déjà été condamné par le passé pour des vols et qu'il était au bénéfice d'une autorisation de séjour lui permettant d'exercer une activité lucrative - représentait une menace actuelle et grave pour la sécurité et l'ordre publics au moment où l'autorité inférieure a statué. Le prononcé à son endroit d'une mesure d'éloignement d'une durée supé­rieure à cinq ans était dès lors parfaitement justifié. 8.1 Il sied encore d'examiner si cette mesure d'éloignement, dont la durée a été fixée par l'autorité de première instance à quinze ans, satisfait notamment aux principes de la proportionnalité et d'égalité de traitement. 8.2 C'est le lieu de rappeler que lorsque l'autorité administrative pronon­ce une interdiction d'entrée, elle doit respecter les principes susmentionnés et s'interdire tout arbitraire (cf. André Grisel, Traité de droit admi­nis­tra­tif, vol. I, Neuchâtel 1984, p. 339ss, 348ss, 358ss et 364ss; Blaise Knapp, Précis de droit administratif, Bâle/Francfort-sur-le-Main 1991, p. 103ss, 113ss et 124ss).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la juris­pru­dence citée). L'exigence de proportionnalité à laquelle doivent satisfaire les mesures étatiques (telles les mesures d'éloignement), qui découle notamment de l'art. 96 al. 1 LEtr, est aussi applicable dans les domaines régis par l'ALCP (cf. arrêt du TF précités 2C_436/2014 consid. 4.1, 2C_121/2014 consid. 5.1, et la jurisprudence citée). La détermination de la durée d'une interdiction d'entrée dans un cas concret doit tenir compte en particulier de l'importance des biens juridiques menacés et des intérêts privés concernés (cf. ATAF 2014/20 consid. 8.2 et 8.3). 8.3 Préalablement, il convient de relever que l'impossibilité pour le recou­rant de résider durablement en Suisse ne résulte pas de la mesure d'éloignement litigieuse, mais découle du fait qu'il n'est pas titulaire d'un titre de séjour dans ce pays. En effet, par décision du 13 novembre 2012, qui est entrée en force, les autorités valaisannes compétentes ont révoqué l'autorisation de séjour qu'elles lui avaient délivrée et prononcé son renvoi de Suisse (cf. consid. C supra). 8.4 En l'occurrence, l'intéressé a fait l'objet de deux condamnations pénales. Par jugement prononcé le 23 août 2012, il a notamment été reconnu coupable de trafic de stupéfiant par métier et en bande. Par sa dernière activité délictueuse, le recourant (qui a principalement agi par appât du gain) a contribué à la production et à la vente de produits stupéfiants, réalisant par là des chiffres d'affaires et/ou des bénéfi­ces conséquents, puisque cela lui a valu la circonstance aggravante du métier (cf. consid. 7.3 supra) et a conduit les juges pénaux à prononcer une peine privative de liberté d'une durée totale de 36 mois. C'est ici le lieu de rappeler que l'autorité de police des étrangers, aux yeux de laquelle la préoccupation de l'ordre et de la sécurité publics est prépondérante, s'inspire de considérations différentes de celles qui gui­dent le juge pénal ou l'autorité d'application des peines et mesures. L'ap­préciation émise par l'autorité de police des étrangers peut donc s'avérer plus rigoureuse pour l'étranger concerné que celle du juge pénal ou de l'autorité d'application des peines et mesures (cf. ATF 140 I 145 consid. 4.3, 137 II 233 consid. 5.2.2, 130 II 493 consid. 4.2, et la jurispru­dence citée). Il convient par ailleurs de rappeler qu'en cas d'infractions graves portant atteinte à des biens juridiques importants (telles la vie, l'intégrité corporelle et la santé), au nombre desquelles figurent notamment les infractions graves à la législation sur les stupéfiants (en particulier le trafic de drogue pratiqué par appât du gain), les autorités helvétiques, à l'instar des instances européennes, se montrent particu­lièrement rigoureuses (cf. consid. 5.2.1 in fine et 7.1 supra). Aussi, dans de telles circonstances, un risque de récidive, même relativement faible, ne saurait en principe être toléré (cf. ATF 139 I 31 consid. 2.3.2, 139 I 16 consid. 2.2.1, 130 II 176 con­sid. 4.3.1, et les références citées). Or, dans le cas particulier, le risque que le recourant ne porte à nouveau atteinte à des biens juridiques importants reste élevé. En effet, comme l'a relevé le Tribunal du IIIe arrondissement pour le district de Martigny [cf. jugement du 23 août 2012, ch. 1.4 b), p. 21; consid. 6.3 supra], plusieurs indices, dont notamment sa consommation quasi quotidienne de marijuana et l'appât du gain, corroboraient une certaine installation de l'intéressé dans la délinquance et la perspective qu'il ne commette plus d'infractions, singulièrement dans le domaine des stupéfiants, n'est de loin pas nulle. Comme relevé ci-avant, le fait qu'il était au bénéfice d'une autorisation de séjour lui permettant d'exercer une activité lucrative ne l'a pas dissuadé de créer un trafic de stupéfiants d'une certaine ampleur, puisque les autorités pénales ont retenu la circonstance aggravante de métier. Son activité délictueuse ne s'est donc pas résumée à un ou quelques actes isolés, mais s'est étendue sur de nombreux mois et n'a été mise en échec que par son arrestation en janvier 2012. Ses antécédents pénaux français témoignent d'ailleurs des grandes difficultés qu'éprouve le recourant à se conformer à l'ordre établi. Il existe donc in casu un intérêt public majeur à ce que les entrées de l'intéressé en Suisse soient contrôlées pendant un certain nombre d'années. 8.5 S'agissant des circonstances qui pourraient éventuellement plaider en faveur du recourant, telles la durée de son séjour et son intégration (sociale et professionnelle) en Suisse, elles doivent être forte­ment relativisées. On ne saurait en effet perdre de vue que l'intéressé a passé la majeure partie de son existence sur le territoire français et n'a séjourné que brièvement en Suisse (deux autorisations de courte durée en 2007 et 2008 et une autorisation de séjour obtenue en juillet 2009; cf. consid. A.a). Depuis la délivrance de son autorisation de séjour jusqu'à son renvoi de Suisse le 26 juillet 2013 à destination de France, le prénommé - sous réserve du séjour qu'il a effectué en prison dès le mois de janvier 2012 - a consacré la majeure partie de l'année 2011 à se livrer à un trafic de stupéfiants, activité qui lui a permis de financer son grand train de vie. Force est dès lors de constater que, malgré la durée relativement courte de son séjour en Suisse, l'intéressé a été dans l'incapacité de s'insérer pleinement dans ce pays et de s'y construire une existence honnête, alors même qu'il disposait jusqu'en 2011 d'une autorisation de séjour et d'un emploi. On rappellera, au demeurant, que les séjours en prison (qui excluent l'établissement et la mise en oeuvre de liens sociaux), ne peuvent être pris en considération que de manière limitée (cf. ATF 134 II 10 consid. 4.3, 130 II 281 consid. 3.3, et la jurisprudence citée; arrêt du TF 2C_654/2013 du 12 février 2014 consid. 2.1). A cela s'ajoute que le recourant n'a pas d'attaches familiales en Suisse et que sa famille proche (mère, oncles et tante) résident en France. Cependant, le Tribunal de céans tient à tenir compte des efforts déployés par le recourant pour retrouver en France un emploi (cf. contrats de travail à durée indéterminée intermittent de 4 juin et 9 septembre 2014) et de sa volonté de rompre avec le milieu de la délinquance (cf. recours du 30 avril 2013), intention qui demandera à être confirmée sur le long terme. 8.6 En conséquence, après une pondération des intérêts publics et privés en présence et au regard de l'ensemble des circonstances, en particulier de la gravité des faits reprochés au recourant (trafic de stupéfiant en bande et par métier) et de l'importance du risque de récidive que laisse redouter son passé judiciaire et sa consommation de stupéfiants, il s'impose de retenir qu'une mesure d'interdiction d'entrée pour une durée de 10 ans, à savoir jusqu'au 15 avril 2023, apparaît comme nécessaire, adéquate et proportionnée en vue de bannir la menace que représente l'intéressé pour l'ordre et la sécurité publics. Il sied encore de constater que c'est à juste titre que l'ODM a limité la por­tée de cette mesure d'éloignement au seul territoire suisse, puisque le recourant est un ressortissant communautaire. 9.1 Partant, le recours est partiellement admis et la décision de l'ODM du 16 avril 2013 est réformée en ce sens que les effets de l'interdiction d'entrée en Suisse sont limités au 15 avril 2023. 9.2 Par décision incidente du 10 juillet 2013, le recourant a été mis au bénéfice de l'assistance judiciaire totale. 9.2.1 Il n'est en conséquence pas perçu de frais de procédure. 9.2.2 Le recourant a par ailleurs droit à des dépens réduits (art. 64 al. 1 PA en relation avec l'art. 7 al. 2 du règlement du 11 décembre 2006 concernant les frais, dépens et indemnités fixés par le Tribunal administratif fédéral [FITAF; RS 173.320.2]). Le Tribunal de céans considère, au regard des art. 8 et ss FITAF, que le versement d'un montant de 600 francs à titre de dépens apparaît comme équitable en la présente procédure. 9.2.3 Il y a par ailleurs lieu d'allouer au recourant une indemnité pour les honoraires non couverts par les dépens qui lui sont alloués (art. 8 à 10 en relation avec l'art. 12 et l'art. 14 FITAF). Le recourant a l'obligation de rembourser ce montant s'il revient à meilleure fortune, conformément à l'art. 65 al. 4 PA. Tenant compte de l'ensemble des circonstances du cas, le TAF estime, au regard des art. 8 et ss FITAF, que le versement d'une indemnité à titre d'honoraires s'élevant à 600 francs (montant dans lequel est incluse la TVA au sens de l'art. 9 al. 1 let. c FITAF)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