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C-2461/2008 vom 29. April 2009</w:t>
      </w:r>
    </w:p>
    <w:p>
      <w:r>
        <w:t>Bundesverwaltungsgericht, 2009-04-29, DE</w:t>
      </w:r>
    </w:p>
    <w:p>
      <w:r>
        <w:rPr>
          <w:b/>
        </w:rPr>
        <w:t xml:space="preserve">Quelle: </w:t>
      </w:r>
      <w:r>
        <w:t>https://mcp.opencaselaw.ch/entscheid/bvger_C-2461_2008</w:t>
      </w:r>
    </w:p>
    <w:p>
      <w:r>
        <w:t>FR: TAF C-2461/2008 du 29 avril 2009</w:t>
      </w:r>
    </w:p>
    <w:p>
      <w:r>
        <w:t>IT: TAF C-2461/2008 del 29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12. Dezember 2008 trat das Abkommen vom 26. Oktober 2004 zwischen der Schweizerischen Eidgenossenschaft, der Europäischen Union und der Europäischen Gemeinschaft über die Assoziierung dieses Staates bei der Umsetzung, Anwendung und Entwicklung des Schengen-Besitzstands (SAA, SR 0.360.268.1) in Kraft. Seitdem ist die Schweiz verpflichtet, den übernommenen Schengen-Besitzstand anzuwenden und umzusetzen, wie u.a. die Bestimmungen zur gemeinsamen Visapolitik, auf die verschiedentlich in EG-Rechtsakten verwiesen wird.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Art. 57 der Verordnung vom 22. Oktober 2008 über die Einreise und die Visumerteilung (VEV, SR 142.204)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1 - 32]).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 - 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1 - 149), die eine analoge Auslegung vornimmt. Diese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1 - 7)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Thailand findet sich in Anhang I, so dass die Gesuchstellerin als thailändische Staatsangehörige der Visumspflicht unterliegt.</w:t>
      </w:r>
    </w:p>
    <w:p>
      <w:r>
        <w:rPr>
          <w:b/>
        </w:rPr>
        <w:t>E. 7.1</w:t>
      </w:r>
    </w:p>
    <w:p>
      <w:r>
        <w:t>Zur Prüfung des Kriteriums der gesicherten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Gesuchstellerin oder des Gesuchstellers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wirtschaftliche Situation Thailands zeigte in den letzten Jahren ein robustes Wachstum, auch wenn innenpolitische Unsicherheit, aufkommende Gewalt in den vier südlichsten Provinzen sowie die Auswirkungen des verheerenden Tsunami von 2004 eine Verlangsamung des Wirtschaftswachstums bewirkt haben. Die weltweite Finanz- und Wirtschaftskrise sowie die zunehmend unsichere innenpolitische Situation (Besetzung der Flughäfen Ende November/Anfang Dezember 2008 sowie die Demonstrationen der politischen Opposition und die Verhängung des Ausnahmezustandes über Bangkok und die umliegenden Provinzen im April 2009) haben sich in den letzten Monaten deutlich negativ auf die wirtschaftliche Situation Thailands ausgewirkt (Quellen: Länder- und Reiseinformationen auf der Webseite des deutschen Auswärtigen Amtes: www.auswaertiges-amt.de &gt; Thailand &gt; Rubriken: Wirtschaft, Innenpolitik sowie Reise- und Sicherheitshinweise, Stand: März 2009, Februar 2009 sowie 21. April 2009; Background Notes auf der Webseite des US Aussenministeriums: www.state.gov &gt; Travel &gt; Countries and Regions &gt; Background Notes, Stand: Januar 2009. Beide Seiten besucht am 21. April 2009). Die Lebensbedingungen beträchtlicher Teile der Bevölkerung waren bereits vor den jüngsten Ereignissen in ökonomischer und sozialer Hinsicht vergleichsweise schwierig. Entsprechend hoch ist der Anteil jener Thailänder, die versuchen, ins Ausland zu gelangen, um sich unter günstigeren Lebensbedingungen eine bessere Existenz aufzubauen bzw. sichern zu können. Der Trend zeigt sich erfahrungsgemäss dort besonders stark, wo im Ausland durch die Anwesenheit von Verwandten oder Bekannten bereits ein minimales soziales Beziehungsnetz besteht.</w:t>
      </w:r>
    </w:p>
    <w:p>
      <w:r>
        <w:rPr>
          <w:b/>
        </w:rPr>
        <w:t>E. 7.4</w:t>
      </w:r>
    </w:p>
    <w:p>
      <w:r>
        <w:t>Angesichts der geschilderten Situation ist nicht zu beanstanden, wenn die Vorinstanz das Risiko einer nicht fristgerechten Wiederausreise von Besuchern aus Thailand generell als hoch einschätzt. Bei der Risikoanalyse sind jedoch nicht nur solch allgemeine Umstände und Erfahrungen zu berücksichtigen, sondern, wie erwähnt, sämtliche Gesichtspunkte des konkreten Einzelfalles. Obliegen dem Gesuchsteller oder der Gesuchstellerin im Heimatstaat besondere berufliche, gesellschaftliche oder familiäre Verpflichtungen, kann dieser Umstand durchaus die Prognose für eine anstandslose Wiederausreise begünstigen. Andererseits muss bei Gesuchstellerinnen und Gesuchstellern, die in der Heimat keine der erwähnten Verpflichtungen haben, die sie von einer möglichen Emigration abhalten könnten, aufgrund entsprechender Erfahrungen das Risiko eines fremdenpolizeilich nicht vorschriftsgemässen Verhaltens nach bewilligter Einreise als hoch eingeschätzt werden. Bei Gesuchstellerinnen und Gesuchstellern, die sich bereits früher in der Schweiz aufgehalten haben, ist - entgegen der Ansicht des Beschwerdeführers - auch das damals gezeigte Verhalten bei der Beurteilung zu berücksichtigen, da diese konkreten Erfahrungen geeignet sind, die Prognose zu beeinflussen.</w:t>
      </w:r>
    </w:p>
    <w:p>
      <w:r>
        <w:rPr>
          <w:b/>
        </w:rPr>
        <w:t>E. 7.4.1</w:t>
      </w:r>
    </w:p>
    <w:p>
      <w:r>
        <w:t>Bei der Gesuchstellerin handelt es sich um eine 48jährige, verwitwete Frau. Aus den Akten geht hervor, dass sie zwei erwachsene Kinder und weitere Familienmitglieder (insb. Mutter und Geschwister) hat, die in Thailand leben. Als Beruf gab die Gesuchstellerin auf dem Visumsantrag Hausfrau an. Der Beschwerdeführer macht in dieser Hinsicht geltend, gerade die Kinder und der ausgeprägte Familiensinn in Thailand stellten eine starke Verpflichtung für die Gesuchstellerin dar, die Schweiz fristgerecht wieder zu verlassen. Dieser Auffassung kann nicht gefolgt werden. Zwar gibt es weder für das Gericht noch für die Vorinstanz (vgl. Vernehmlassung vom 29. Mai 2008) Gründe, daran zu zweifeln, dass die familiären Bindungen intakt sind. Es darf jedoch nicht ausser Acht gelassen werden, dass die Gesuchstellerin bereits früher ihr Heimatland für unbestimmte Zeit verlassen hat (Sachverhalt Bst. B). Weder die Beziehung zu ihren damals noch minderjährigen Kindern noch zu den anderen Familienmitgliedern hat sie offenbar daran gehindert. Inwiefern die heutige Situation eine andere sein sollte als vor ein paar Jahren, als insbesondere die Kinder noch auf die Betreuung erwachsener Personen angewiesen waren, geht aus den Akten nicht hervor und wird vom Beschwerdeführer auch nicht nachvollziehbar dargelegt. Der Einwand des Beschwerdeführers, dass zwar das Gesuch von der Gesuchstellerin ausgehe, dass jedoch im Grunde genommen er als Schweizer Bürger dahinter stehe, vermag daran nichts zu ändern. Zwar besteht kein Anlass am guten Willen und der festen Absicht des Beschwerdeführers zu zweifeln, die Frist zur Wiederausreise zu respektieren. Naturgemäss kann jedoch ein Gastgeber nur für gewisse finanzielle Risiken garantieren, mangels rechtlicher und faktischer Durchsetzbarkeit nicht aber für ein bestimmtes Verhalten des Gastes (vgl. das Urteil des Bundesverwaltungsgerichts C-6923/2007 vom 6. April 2009 E. 10 mit Hinweisen).</w:t>
      </w:r>
    </w:p>
    <w:p>
      <w:r>
        <w:rPr>
          <w:b/>
        </w:rPr>
        <w:t>E. 7.4.2</w:t>
      </w:r>
    </w:p>
    <w:p>
      <w:r>
        <w:t>In die Beurteilung ist im Weiteren das Verhalten der Gesuchstellerin anlässlich ihrer früheren Aufenthalte in der Schweiz mit einzubeziehen. Sie hielt sich bereits von 1998 bis 1999 und von 2003 bis 2006 legal in der Schweiz auf (vgl. oben Sachverhalt Bst. A und B). Soweit aus den Akten ersichtlich, kam sie den jeweiligen Ausreiseverpflichtungen weitgehend nach (bei der Ausreise 2006 unterliess sie es, die Ausreisekarte abstempeln zu lassen, so dass das genaue Ausreisedatum nicht aktenkundig ist). Im Jahre 2000 hielt sich die Gesuchstellerin jedoch in der Schweiz auf, ohne über eine entsprechende Bewilligung zu verfügen, und ging einer Arbeit nach. Anlässlich der polizeilichen Einvernahme gab sie an, zum Zwecke der Heirat und der Erwerbstätigkeit in die Schweiz gekommen zu sein. Für dieses Verhalten wurde sie strafrechtlich belangt und mit einer zweijährigen Einreisesperre belegt (vgl. oben Sachverhalt Bst. A). Unter ihrem geänderten Namen versuchte die Gesuchstellerin im Jahre 2002, noch vor Ablauf der Einreisesperre, zum Zwecke eines Sprachaufenthaltes ein Visum zu erhalten. Das Verhalten der Gesuchstellerin zeigt, dass ihr ein Leben in der Schweiz sehr viel bedeutet. So war sie gar gewillt, ihr Ziel unter Umgehung der fremdenpolizeilichen Bestimmungen zu erreichen. Unter diesen Umständen kann der Gesuchstellerin bezüglich der anstandslosen Wiederausreise keine günstige Prognose gestellt werden. Vielmehr ist davon auszugehen, dass der Emigrationswille nach wie vor besteht.</w:t>
      </w:r>
    </w:p>
    <w:p>
      <w:r>
        <w:rPr>
          <w:b/>
        </w:rPr>
        <w:t>E. 7.4.3</w:t>
      </w:r>
    </w:p>
    <w:p>
      <w:r>
        <w:t>Insgesamt kann gesagt werden, dass die persönliche Situation der Gesuchstellerin, nicht zuletzt auch aufgrund ihres Verhaltens bei früheren Aufenthalten, nicht Gewähr für eine fristgerechte Wiederausreise bieten kann. An dieser Stelle ist nochmals zu betonen, dass keine Zweifel an der Integrität des Beschwerdeführers und an seinem festen Willen, die Rechtsordnung einzuhalten, bestehen. Bei der hier vorzunehmenden Beurteilung steht jedoch die Situation der gesuchstellenden Person im Zentrum, welche im vorliegenden Fall nicht zu einer günstigen Prognose zu führen vermag.</w:t>
      </w:r>
    </w:p>
    <w:p>
      <w:r>
        <w:rPr>
          <w:b/>
        </w:rPr>
        <w:t>E. 7.5</w:t>
      </w:r>
    </w:p>
    <w:p>
      <w:r>
        <w:t>Unter den gegebenen Umständen durfte die Vorinstanz zu Recht davon ausgehen, es bestehe aufgrund der Situation im Herkunftsland der Gesuchstellerin und deren persönlichen Verhältnissen nicht genügend Gewähr für die fristgerechte und anstandslose Wiederausreise nach einem Besuchsaufenthalt.</w:t>
      </w:r>
    </w:p>
    <w:p>
      <w:r>
        <w:rPr>
          <w:b/>
        </w:rPr>
        <w:t>E. 8</w:t>
      </w:r>
    </w:p>
    <w:p>
      <w:r>
        <w:t>Aus den vorstehenden Erwägungen folgt, dass die angefochtene Verfügung im Lichte von Art. 49 VwVG rechtmässig ist. Die Beschwerde ist daher abzuweisen.</w:t>
      </w:r>
    </w:p>
    <w:p>
      <w:r>
        <w:rPr>
          <w:b/>
        </w:rPr>
        <w:t>E. 9</w:t>
      </w:r>
    </w:p>
    <w:p>
      <w:r>
        <w:t>Bei diesem Ausgang des Verfahrens sind die Kosten dem Beschwerdeführer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