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C-2454/2006 vom 2. November 2007</w:t>
      </w:r>
    </w:p>
    <w:p>
      <w:r>
        <w:t>Bundesverwaltungsgericht, 2007-11-02, FR</w:t>
      </w:r>
    </w:p>
    <w:p>
      <w:r>
        <w:rPr>
          <w:b/>
        </w:rPr>
        <w:t xml:space="preserve">Quelle: </w:t>
      </w:r>
      <w:r>
        <w:t>https://mcp.opencaselaw.ch/entscheid/bvger_C-2454_2006</w:t>
      </w:r>
    </w:p>
    <w:p>
      <w:r>
        <w:t>FR: TAF C-2454/2006 du 2 novembre 2007</w:t>
      </w:r>
    </w:p>
    <w:p>
      <w:r>
        <w:t>IT: TAF C-2454/2006 del 2 novembre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les autorités cantonales de surveillance en matière de surveillance des fondations de prévoyance peuvent être contestées devant le Tribunal administratif fédéral conformément à l'art. 33 let. i LTAF et à l'art. 74 al. 1 LPP, comme d'ailleurs elles pouvaient l'être antérieurement devant la Commission de recours LPP conformément à l'ancien art. 74 al. 2 let. c LPP dans sa teneur en vigueur jusqu'au 31 décembre 2006.</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2.1</w:t>
      </w:r>
    </w:p>
    <w:p>
      <w:r>
        <w:t>La décision litigieuse du 11 août 2006 constitue manifestement une décision au sens de l'art. 5 PA. La qualité pour agir devant le Tribunal de céans selon l'art. 48 al. 1 PA dans sa teneur en vigueur depuis le 1er janvier 2007 appartient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au sens où l'entend la loi peut être de nature juridique ou simplement un intérêt de fait. Il n'est pas nécessaire qu'il corresponde à celui que tend à protéger la norme dont la violation est alléguée. Il faut simplement que le recourant soit touché plus que quiconque par la décision attaquée et qu'il se trouve dans une relation particulièrement étroite et digne de considération avec l'objet du litige.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2ème éd. Berne 2002, p. 626 ss; Benoît Bovay, Procédure administrative, Berne 2000, p. 483 ss).</w:t>
      </w:r>
    </w:p>
    <w:p>
      <w:r>
        <w:rPr>
          <w:b/>
        </w:rPr>
        <w:t>E. 2.2</w:t>
      </w:r>
    </w:p>
    <w:p>
      <w:r>
        <w:t>S'agissant d'association recourante, l'intérêt lésé doit être commun à la majorité ou à un grand nombre de ses membres, même si l'association elle-même n'est pas personnellement touchée. Ses buts statutaires doivent comprendre la protection de ses membres et ceux-ci, pris individuellement, doivent avoir pour eux-mêmes qualité pour recourir (Moor, op. cit. p. 644; Bovay, op. cit. p. 362; ATF 122 I 70/73; 119 Ia 123/127).</w:t>
      </w:r>
    </w:p>
    <w:p>
      <w:r>
        <w:rPr>
          <w:b/>
        </w:rPr>
        <w:t>E. 2.3</w:t>
      </w:r>
    </w:p>
    <w:p>
      <w:r>
        <w:t>L'objet d'un recours est la modification ou l'annulation partielle ou totale de la décision attaquée. Le recourant doit donc prendre des conclusions en ce sens, mais il suffit qu'elles ressortent clairement de la motivation du recours (Moor, op. cit., p. 674; Bovay, op. cit., p. 386; ATF 101 V 127). En l'espèce, il est patent que l'Association recourante conclut à l'annulation de la décision attaquée, faute d'avoir été clarifiée par l'Autorité de surveillance l'existence ou non de fonds libres compte tenu antérieurement de la prise en compte de contributions patronales versées à l'institution de prévoyance conformes à son règlement. Or le liquidateur n'a pas répondu à cette question, ou très succinctement, dans sa prise de position du 23 juin 2006 en indiquant que des contributions plus élevées à celles de tous les salariés nécessitaient son accord (cf. pce B 2/5 p. 4), allégué manifestement erroné au vu de l'art. 10.3 du règlement. Bien que la recourante ne conteste pas le fait qu'il n'y ait plus de fonds libre, son recours vise les causes de cette inexistence de fonds libres et, cas échéant, leur reconstitution si leur inexistence est fautive, d'où sa légitimation active à l'annulation de la décision attaquée. Le grief tendant à l'irrecevabilité du recours formulé par la fondation intimée doit par conséquent être rejeté.</w:t>
      </w:r>
    </w:p>
    <w:p>
      <w:r>
        <w:rPr>
          <w:b/>
        </w:rPr>
        <w:t>E. 2.4</w:t>
      </w:r>
    </w:p>
    <w:p>
      <w:r>
        <w:t>En l'espèce, l'Association, dans la mesure de son existence (statuts et organisation), laquelle n'est pas contestée par les parties intimées, a sans conteste pour ses membres un intérêt digne de protection à l'annulation de la décision attaquée.</w:t>
      </w:r>
    </w:p>
    <w:p>
      <w:r>
        <w:rPr>
          <w:b/>
        </w:rPr>
        <w:t>E. 2.5</w:t>
      </w:r>
    </w:p>
    <w:p>
      <w:r>
        <w:t>Déposé en temps utile et dans les formes requises par la loi (art. 50 al. 1 et 52 PA), l'avance de frais de procédure ayant été effectuée, le recours est recevable.</w:t>
      </w:r>
    </w:p>
    <w:p>
      <w:r>
        <w:rPr>
          <w:b/>
        </w:rPr>
        <w:t>E. 3</w:t>
      </w:r>
    </w:p>
    <w:p>
      <w:r>
        <w:t>Selon les art. 62 al. 2 LPP et 84 al. 2 du Code civil suisse du 10 décembre 1907 (CC; RS 210), l'autorité de surveillance pourvoit à ce que les biens des fondations soient employés conformément à leur but. En outre, conformément à l'art. 62 al. 1 LPP, elle s'assure que l'institution de prévoyance se conforme aux dispositions légales (ATF 99 Ib 259, consid. 3; Jugement de la Commision fédérale LPP du 8 décembre 2000 [cause 618/99], p. 9, publié in: Revue suisse des assurances sociales et de la prévoyance professionnelle [RSAS] 2002, p. 476 ss).</w:t>
      </w:r>
    </w:p>
    <w:p>
      <w:r>
        <w:rPr>
          <w:b/>
        </w:rPr>
        <w:t>E. 4</w:t>
      </w:r>
    </w:p>
    <w:p>
      <w:r>
        <w:t>Selon l'art. 331 al. 3 du Code des obligations du 30 mars 1911 (CO, RS 220), l'employeur finance sa contribution envers l'institution de prévoyance à laquelle il est affilié ou qu'il a fondée par ses moyens propres ou à l'aide de réserves de cotisations de l'institution de prévoyance; ces réserves, cas échéant, doivent avoir été accumulées préalablement dans ce but par l'employeur et être comptabilisées séparément. La disposition précitée du CO est valable dans le domaine obligatoire comme dans le domaine surobligatoire en l'absence de dispositions à ce sujet dans la LPP. Ainsi, les réserves de cotisations de l'employeur doivent clairement apparaître au bilan de l'institution de prévoyance comme telles et elles seules peuvent être utilisées pour financer ses contributions. S'il est patent que l'employeur peut donc utiliser les réserves de cotisations qu'il a constituées pour s'acquitter de ses cotisations annuelles d'employeur, il est patent également qu'il ne saurait prétendre quelque droit sur des excédents de l'institution de prévoyance relevés par les expertises actuarielles déterminant le degré de couverture de l'institution du fait que seuls les bénéficiaires de l'institution ont des expectatives sur ces excédents.</w:t>
      </w:r>
    </w:p>
    <w:p>
      <w:r>
        <w:rPr>
          <w:b/>
        </w:rPr>
        <w:t>E. 5</w:t>
      </w:r>
    </w:p>
    <w:p>
      <w:r>
        <w:t>Selon l'art. 5.1.2 du Règlement de la Fondation, le montant annuel de la rente de vieillesse s'élève, pour chaque année de service déterminante, à 1.75% du salaire final déterminant. Le système de retraite est en conséquence fondé sur la primauté des prestations et non des cotisations, ce qui implique que l'employeur, parallèlement aux cotisations annuelles réglementaires payées par les salariés, dont le montant annuel ne peut être inférieur à celui versé par tous les salariés (art. 331 al. 3 CO et 66 al. 1 LPP), doit financer le solde permettant d'atteindre le niveau des prestations réglementaires. Le calcul de ce montant ne peut s'effectuer que hors prise en compte des excédents d'une année à une autre. Une solution contraire reviendrait à exclure tout excédent dans une fondation en primauté de prestations et reviendrait à permettre à l'employeur de financer sa part patronale par les excédents au bilan. Selon l'art. 10.2 al. 1 du règlement, "les cotisations annuelles des assurés sont fixées à 5% du salaire final déterminant; elles ne sont dues qu'à partir du 1er janvier suivant le 24ème anniversaire". Selon l'art. 10.3 al. 1 dudit règlement, "la contribution annuelle de l'entreprise est déterminée d'après une évaluation actuarielle, après déduction du total des contributions des employés". L'alinéa 2 énonce que si "l'entreprise le juge nécessaire et en vue de changements de législation ou pour cause de ses propres possibilités financières, elle peut, après notification aux représentants des employés du Conseil de Fondation, décider de baisser sa contribution annuelle. Toutefois, la contribution annuelle de l'entreprise est au moins égale à la somme des contributions de tous les employés, et celle-ci doit être au moins suffisante pour couvrir les prestations minimales LPP". Cette disposition permet donc à l'entreprise en cas de nécessités financières d'abaisser sa cotisation annuelle jusqu'au montant de celle versée par tous les salariés mais dans la mesure d'une notification préalable au représentants des employés du Conseil de fondation. Le principe est donc différent de celui évoqué par le liquidateur (cf. supra consid. E in fine) et ce dernier ne fait pas valoir que l'employeur a effectué la notification précitée. En l'espèce, il appert des comptes annuels de l'institution de prévoyance que de 1998 (voire même 1997) à 2004 la contribution de l'employeur a été égale à celle des employés et s'est donc montée à 5% des salaires versés totalisant, avec la contribution des employés, un taux de contribution à l'institution de prévoyance de 10% des salaires versés. Or, vu qu'a priori il est manifeste que ce taux de 10% est inférieur à ce qui paraît être requis par le système de primauté des prestations institué par l'art. 5.1.2 du règlement sans que les excédents actuariels de l'institution de prévoyance ne soient mis à contribution en faveur de l'employeur, contrairement à la loi, l'Autorité de surveillance se devait d'instruire la plainte qui lui a été adressée le 24 mai 2006 réitérant une plainte du 2 juin 2004 restée d'ailleurs sans suite. Faute d'avoir clarifié préalablement la question de la suffisance du montant de la contribution de l'employeur à l'institution de prévoyance sans porter atteinte aux excédents actuariels quand ceux-ci étaient existant, l'Autorité de surveillance a rendu une décision avalisant l'inexistence de fonds libres en méconnaissance des conclusions devant être tirées de l'instruction des plaintes des 2 juin 2004 et 24 mai 2006 sur le grief précis soulevé auquel le liquidateur n'a pas répondu et que l'Autorité de surveillance n'a pas analysé. Mal fondée la décision doit être annulée et le dossier retourné à l'Autorité de surveillance pour instruction de la plainte et nouvelle décision.</w:t>
      </w:r>
    </w:p>
    <w:p>
      <w:r>
        <w:rPr>
          <w:b/>
        </w:rPr>
        <w:t>E. 6.1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Fr. 5'000.- fournie par la recourante lui est remboursée.</w:t>
      </w:r>
    </w:p>
    <w:p>
      <w:r>
        <w:rPr>
          <w:b/>
        </w:rPr>
        <w:t>E. 6.2</w:t>
      </w:r>
    </w:p>
    <w:p>
      <w:r>
        <w:t>En vertu de l'art. 64 al. 1 PA, l'autorité de recours peut allouer, d'office ou sur requête, à la partie ayant entièrement ou partiellement gain de cause une indemnité pour les frais indispensables et relativement élevés qui lui ont été occasionnés. En l'espèce, il est allouée à l'Association recourante une indemnité de dépens de Fr. 2'000.- à charge de la fondation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