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C-2440/2017 vom 25. Februar 2019</w:t>
      </w:r>
    </w:p>
    <w:p>
      <w:r>
        <w:t>Bundesverwaltungsgericht, 2019-02-25, DE</w:t>
      </w:r>
    </w:p>
    <w:p>
      <w:r>
        <w:rPr>
          <w:b/>
        </w:rPr>
        <w:t xml:space="preserve">Quelle: </w:t>
      </w:r>
      <w:r>
        <w:t>https://mcp.opencaselaw.ch/entscheid/bvger_C-2440_2017</w:t>
      </w:r>
    </w:p>
    <w:p>
      <w:r>
        <w:t>FR: TAF C-2440/2017 du 25 février 2019</w:t>
      </w:r>
    </w:p>
    <w:p>
      <w:r>
        <w:t>IT: TAF C-2440/2017 del 25 febbraio 2019</w:t>
      </w:r>
    </w:p>
    <w:p>
      <w:pPr>
        <w:pStyle w:val="Heading2"/>
      </w:pPr>
      <w:r>
        <w:t>Regeste</w:t>
      </w:r>
    </w:p>
    <w:p>
      <w:r>
        <w:t>Zuteilung zu den Prämientarifen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des Bundesgesetzes vom 20. März 1981 über die Unfallversicherung (UVG, SR 832.20) ausdrücklich geregelt und vorliegend gegeben.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1.3</w:t>
      </w:r>
    </w:p>
    <w:p>
      <w:r>
        <w:t>Die Beschwerde wurde frist- und formgerecht eingereicht (vgl. Art. 38 ff. und Art. 60 ATSG, Art. 50 Abs. 1 in Verbindung mit Art. 52 Abs. 1 VwVG). Als Adressatin des angefochtenen Einspracheentscheides vom 28. März 2017 (act. 55) ist die Beschwerdeführerin berührt und hat ein schutzwürdiges Interesse an dessen Aufhebung oder Abänderung (Art. 59 ATSG, Art. 48 Abs. 1 VwVG). Nachdem auch der Kostenvorschuss fristgerecht geleistet worden ist (B-act. 4), ergibt sich zusammenfassend, dass sämtliche Prozessvoraussetzungen erfüllt sind. Auf die Beschwerde vom 27. April 2017 ist deshalb einzutreten.</w:t>
      </w:r>
    </w:p>
    <w:p>
      <w:r>
        <w:rPr>
          <w:b/>
        </w:rPr>
        <w:t>E. 1.4.1</w:t>
      </w:r>
    </w:p>
    <w:p>
      <w:r>
        <w:t>Anfechtungsobjekt bildet der Einspracheentscheid der Suva vom 28. März 2017 betreffend die Einreihung in den Prämientarif ab 1. Januar 2016. Mit Blick auf die beschwerdeweise vorgebrachten Rechtsbegehren (Ziffern 1 bis 3) ist die Rechtmässigkeit dieses Entscheids, welchen die Vorinstanz in Anwendung von Art. 28 Abs. 1 ATSG in Verbindung mit Art. 43 Abs. 3 ATSG aufgrund der Akten erlassen hat, streitig und zu prüfen.</w:t>
      </w:r>
    </w:p>
    <w:p>
      <w:r>
        <w:rPr>
          <w:b/>
        </w:rPr>
        <w:t>E. 1.4.2</w:t>
      </w:r>
    </w:p>
    <w:p>
      <w:r>
        <w:t>Mit Blick auf das in Ziffer 3 der Beschwerde formulierte Rechtsbegehren betreffend die maximale Höhe des Bruttoprämiensatzes von 2.5752 % in der BUV und von 2.2500 % in der NBUV ist nicht (mehr) streitig und zu prüfen, dass für die Zeit vom 1. Januar bis 31. März 2016 sowohl betreffend die BUV als auch hinsichtlich der NBUV noch die am 4. September 2015 verfügte Einreihung (act. 99) massgeblich war (vgl. auch E. 2.2 hiernach).</w:t>
      </w:r>
    </w:p>
    <w:p>
      <w:r>
        <w:rPr>
          <w:b/>
        </w:rPr>
        <w:t>E. 1.4.3</w:t>
      </w:r>
    </w:p>
    <w:p>
      <w:r>
        <w:t>Zufolge des in Ziffer 3 der Beschwerde formulierten Rechtsbegehrens betreffend die maximale Höhe des Bruttoprämiensatzes von 2.2500 % in der NBUV und weiterer Begründungselemente ist darüber hinaus nicht streitig und zu prüfen, dass die Beschwerdeführerin sowohl betreffend die BUV als auch hinsichtlich der NBUV der Risikogemeinschaft 11C angehört und dass sie in der NBUV weiterhin in der Stufe 95 (Nettoprämiensatz 1.9630 %; Bruttoprämiensatz 2.2500 %) eingeteilt ist. In diesem Zusammenhang ist ergänzend auf Art. 14 Abs. 1 Prämientarif zu verweisen. Gemäss dieser Norm bestehen die Risikogemeinschaften der NBUV in der Regel aus den Klassen der BUV.</w:t>
      </w:r>
    </w:p>
    <w:p>
      <w:r>
        <w:rPr>
          <w:b/>
        </w:rPr>
        <w:t>E. 1.4.4</w:t>
      </w:r>
    </w:p>
    <w:p>
      <w:r>
        <w:t>Indem der Beschwerdeführerin am 8. Dezember 2017 die vorinstanzlichen Akten zur Einsichtnahme übermittelt worden sind (B-act. 16) und ein doppelter Schriftenwechsel durchgeführt worden ist (B-act. 9 bis 17), wurde den beschwerdeweise gestellten Rechtsbegehren gemäss den Ziffern 4 bis 6 entsprochen, weshalb sich diesbezügliche Weiterungen erübrigen.</w:t>
      </w:r>
    </w:p>
    <w:p>
      <w:r>
        <w:rPr>
          <w:b/>
        </w:rPr>
        <w:t>E. 1.5</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1.6</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mit Hinweisen;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1.7</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1.8</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(BVGE 2007/27 E. 3.2; Urteil der Eidgenössischen Rekurskommission für die Unfallversicherung [im Folgenden: Rekurskommission] vom 13. Dezember 2004, publiziert in VPB 69.73, E. 3).</w:t>
      </w:r>
    </w:p>
    <w:p>
      <w:r>
        <w:rPr>
          <w:b/>
        </w:rPr>
        <w:t>E. 1.9</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2.1</w:t>
      </w:r>
    </w:p>
    <w:p>
      <w:r>
        <w:t>Vorab ist festzuhalten, dass die Einzelfirma B._______ per 1. Januar 2016 die Rechtsform geändert hatte und am 23. März 2016 unter der Firma A._______ AG ins Handelsregister eingetragen wurde. Dieser Vorgang war mit Blick auf Art. 42 Prämientarif, wonach aufgrund einer Änderung der Rechtsform oder des Namens oder des Inhabers keine Neueinreihung erfolgt, nicht Auslöser der Einreihungsverfügung vom 20. Juni 2016 (act. 17), welche durch den - das Verwaltungsverfahren abschliessenden (vgl. hierzu BGE 131 V 407 E. 2.1.2.1) - angefochtenen Einspracheentscheid vom 28. März 2017 ersetzt wurde (act. 55). Vielmehr vertrat die Vorinstanz die Auffassung, dass sich die betrieblichen Verhältnisse der Beschwerdeführerin erheblich verändert hätten, was eine Neueinreihung zur Folge habe.</w:t>
      </w:r>
    </w:p>
    <w:p>
      <w:r>
        <w:rPr>
          <w:b/>
        </w:rPr>
        <w:t>E. 2.2</w:t>
      </w:r>
    </w:p>
    <w:p>
      <w:r>
        <w:t>Weiter ist der Auffassung der Beschwerdeführerin, wonach die Einreihungsverfügung der Vorinstanz vom 4. September 2015 (act. 99) rechtskräftig geworden und es nicht statthaft sei, am 20. Juni 2016 eine erneute Verfügung über denselben Sachverhalt - die Einreihung des Betriebs ab 1. Januar 2016 - zu erlassen, zu entgegnen, dass die Suva erst am 27. Mai 2016 (B-act. 109) von der Änderung der Rechtsform der Einzelfirma B._______ per 1. Januar 2016 und vom Handelsregistereintrag der A._______ AG am 23. März 2016 erfahren hatte. Aufgrund dieser Umstände und mit Blick auf Art. 50 Prämientarif, wonach bei einem Zusammentreffen mit einem Betriebsübergang nach Art. 42 das Wirkungsdatum der Neueinreihung identisch mit jenem des Betriebsübergangs ist, ist zwar für die Zeit vom 1. Januar bis 31. März 2016 sowohl betreffend die BUV als auch hinsichtlich der NBUV noch die am 4. September 2015 verfügte Einreihung (act. 99) massgeblich, was unter den Parteien nicht (mehr) strittig ist (vgl. E. 1.4.2 hiervor). Jedoch steht einer Neueinreihung im Prämientarif ab 1. April 2016 zufolge veränderter betrieblicher Verhältnisse grundsätzlich nichts entgegen (vgl. Art. 92 Abs. 4 UVG; zur Anpassung an die seit dem Verfügungserlass eingetretenen geänderten und in diesem Sinne neuen tatsächlichen Verhältnisse bei Dauerrechtsverhältnissen vgl. auch BGE 115 V 308 E. 4bb).</w:t>
      </w:r>
    </w:p>
    <w:p>
      <w:r>
        <w:rPr>
          <w:b/>
        </w:rPr>
        <w:t>E. 3</w:t>
      </w:r>
    </w:p>
    <w:p>
      <w:r>
        <w:t>Die Beschwerdeführerin rügte in formeller Hinsicht, das Vorgehen der Vorinstanz habe nicht der Klärung der Situation gedient. Sie habe mehrfach um eine Erklärung gebeten, wieso eine neue Betriebseinschätzung erfolgt sei. Diese Erklärung stehe noch immer aus. Bereits aus der Einsprache ergebe sich, dass die Neubewertung nicht nachvollzogen werden könne. Anlässlich einer telefonischen Besprechung sei seitens der Vorinstanz mitgeteilt worden, dass eine "Berechnungsmöglichkeit" aufgelegt würde, was mit Schreiben vom 6. Februar 2017 erfolgt sei. Da aus dieser "Berechnungsmöglichkeit" wiederum nicht ersichtlich gewesen sei, wieso eine grundsätzlich andere Betriebseinschätzung erfolgt sei, sei mit Schreiben vom 20. Februar 2017 um Erklärung dieses Umstands ersucht worden. Anstelle einer Erklärung habe die Vorinstanz dann den angefochtenen Einspracheentscheid erlassen. Mit Blick auf diese Ausführungen rügt die Beschwerdeführerin eine Verletzung der Begründungspflicht im Verwaltungsverfahren als Teilgehalt des rechtlichen Gehörs, und es ist vorab zu prüfen, ob die Vorinstanz dieses Grundrecht verletzt hat und in diesem Zusammenhang, ob der Erlass des angefochtenen Aktenentscheids vom 28. März 2017 betreffend die Einreihung ab 1. Januar 2016 rechtens gewesen war.</w:t>
      </w:r>
    </w:p>
    <w:p>
      <w:r>
        <w:rPr>
          <w:b/>
        </w:rPr>
        <w:t>E. 3.1</w:t>
      </w:r>
    </w:p>
    <w:p>
      <w:r>
        <w:t>Verfügungen sind zu begründen, wenn sie den Begehren der Parteien nicht voll entsprechen (Art. 49 Abs. 3 ATSG). Die Begründungspflicht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124 V 180 E. 1a). Die Anforderungen an die Begründung sind umso höher, je weiter der Entscheidungsspielraum der entscheidenden Behörde und je komplexer die Sach- und Rechtslage sind (Häfelin/Müller/Uhlmann, Allgemeines Verwaltungsrecht, 7. Aufl., Zürich/St. Gallen 2016, Rz. 1072 mit Hinweisen).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(Urteil des BVGer C-532/2009 vom 20. August 2012 E. 3.5.2 mit Hinweis auf BVGE 2007/27 E. 9.3; vgl. zum Ermessung und zum Eingriff in dieses auch E. 1.6 und 1.8 hiervor).</w:t>
      </w:r>
    </w:p>
    <w:p>
      <w:r>
        <w:rPr>
          <w:b/>
        </w:rPr>
        <w:t>E. 3.2</w:t>
      </w:r>
    </w:p>
    <w:p>
      <w:r>
        <w:t>Eine nicht besonders schwerwiegende Verletzung des rechtlichen Gehörs kann ausnahmsweise als geheilt gelten, wenn die betroffene Person die Möglichkeit erhält, sich vor einer Beschwerdeinstanz zu äussern, die sowohl den Sachverhalt wie die Rechtslage frei überprüfen kann (BGE 127 V 431 E. 3d/aa, BGE 115 V 297 E. 2h). Von einer Rückweisung der Sache zur Gewährung des rechtlichen Gehörs an die Verwaltung kann im Sinne einer Heilung des Mangels selbst bei einer schwerwiegenden Verletzung des rechtlichen Gehörs abgesehen werden, wenn und soweit die Rückweisung zu einem formalistischen Leerlauf und damit zu unnötigen Verzögerungen führen würde, die mit dem Interesse der betroffenen Partei an einer beförderlichen Beurteilung der Sache nicht zu vereinbaren wären (BGE 116 V 182 E. 3d).</w:t>
      </w:r>
    </w:p>
    <w:p>
      <w:r>
        <w:rPr>
          <w:b/>
        </w:rPr>
        <w:t>E. 3.3</w:t>
      </w:r>
    </w:p>
    <w:p>
      <w:r>
        <w:t>Die Arbeitgeber haben laufend Aufzeichnungen zu machen, die über Beschäftigungsart und Lohn sowie über Zahl und Daten der Arbeitstage eines jeden Arbeitnehmers genaue Auskunft geben. Auf Verlangen geben sie dem Versicherer weitere Auskünfte über alle die Versicherung betreffenden Verhältnisse sowie Einsicht in die Aufzeichnungen und die zu deren Kontrolle dienenden Unterlagen (Art. 93 Abs. 1 UVG).</w:t>
      </w:r>
    </w:p>
    <w:p>
      <w:r>
        <w:rPr>
          <w:b/>
        </w:rPr>
        <w:t>E. 3.4</w:t>
      </w:r>
    </w:p>
    <w:p>
      <w:r>
        <w:t>Die Versicherten und ihre Arbeitgeber haben beim Vollzug der Sozialversicherungsgesetze unentgeltlich mitzuwirken (Art. 28 Abs. 1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4.1</w:t>
      </w:r>
    </w:p>
    <w:p>
      <w:r>
        <w:t>Im Rahmen der Einreihungsverfügung vom 20. Juni 2016 (act. 17) stützte sich die Vorinstanz betreffend die Klassenzuteilung auf die Betriebsbeschreibung vom 27. Mai 2016 (act. 10). Zu den Prämiensätzen und zur Einreihung in den Prämientarif ab 1. Januar 2016 äusserte sie sich nur sehr rudimentär und verwies auf das "Grundlagenblatt BUV", die Erläuterungen zum Grundlagenblatt sowie auf den Auszug aus dem Prämientarif der Suva (act. 17). Wie vorstehend bereits dargelegt wurde (vgl. E. 3.1), kann sich die Behörde zwar auf die für den Entscheid wesentlichen Gesichtspunkte beschränken. Da der Vorinstanz im Rahmen der Tarifgestaltung jedoch ein grosser Entscheidungs- und Ermessensspielraum zukommt und es sich bei der Einreihung in den Prämientarif um eine komplexe Materie handelt, muss die Begründung entsprechend ausführlich und umfassend sein. Dies hat umso mehr zu gelten, wenn die Betroffene - wie vorliegend - mehrfach eine nachvollziehbare Begründung verlangt hat und sie den Unfallversicherer nicht frei wählen kann und darf (vgl. zum Zuständigkeitsbereich der Suva Art. 66 UVG). Da die Einreihungsverfügung vom 20. Juni 2016 die erhöhten Anforderungen an die Begründungspflicht nicht zu erfüllen vermag, ist von einer Verletzung der Begründungspflicht auszugehen. Daran vermögen auch die Geschehnisse im Verlaufe des Einspracheverfahrens nichts zu ändern; vielmehr ist dem vorliegend angefochtenen Aktenentscheid vom 28. März 2017 betreffend die Einreihung ab 1. Januar 2016 aus den folgenden Gründen die Zulässigkeit abzusprechen:</w:t>
      </w:r>
    </w:p>
    <w:p>
      <w:r>
        <w:rPr>
          <w:b/>
        </w:rPr>
        <w:t>E. 4.2.1</w:t>
      </w:r>
    </w:p>
    <w:p>
      <w:r>
        <w:t>Nachdem die Beschwerdeführerin in ihrer Einsprache vom 18. Juli 2016 Akteneinsicht verlangt und geltend gemacht hatte, es sei nicht nachvollziehbar, aus welchen Gründen eine andere Betrachtungsweise als vor der Gesellschaftsgründung vorgenommen werde (act. 20), liess die Vorinstanz der Beschwerdeführerin im Rahmen der gewährten Akteneinsicht vom 27. Juli 2016 die Akten, den ab 1. Januar 2016 gültigen Prämientarif der Suva sowie diverse Broschüren zukommen, ohne jedoch ihre Einreihungsverfügung vom 20. Juni 2016 betreffend die Einreihung ab 1. Januar 2016 weiter ergänzend zu begründen (act. 24).</w:t>
      </w:r>
    </w:p>
    <w:p>
      <w:r>
        <w:rPr>
          <w:b/>
        </w:rPr>
        <w:t>E. 4.2.2</w:t>
      </w:r>
    </w:p>
    <w:p>
      <w:r>
        <w:t>Das änderte sich auch nicht, nachdem die Beschwerdeführerin am 19. August 2016 weitere Informationen und Unterlagen verlangt hatte (act. 25), denn die Suva verwies im Anschluss daran am 13. September 2016 erneut auf das Grundlagenblatt und sandte der Beschwerdeführerin bloss die Broschüre "Betriebsbeschreibung - ausfüllen leicht gemacht" zu (act. 26). Obschon die Vorinstanz anlässlich der Besprechung vom 9. November 2016 (act. 27 bis 29 und 33 bis 34) Kenntnis davon erlangt hatte, dass die Berechnung von der Beschwerdeführerin und dem Rechtsvertreter als kompliziert erachtet wurde (act. 36), verzichtete sie - soweit aus den Akten ersichtlich - darauf, der Beschwerdeführerin Schritt für Schritt die einzelnen Berechnungselemente und deren Auswirkungen im Kontext der Änderung der Rechtsform und der damit verbundenen gesamten Prämienbemessung schriftlich aufzuzeigen. Vielmehr begnügte sie sich damit, der Beschwerdeführerin mit E-Mail vom 10. November 2016 eine Excel-Vorlage für die Aufteilung der Mitarbeiter auf die verschiedenen Tätigkeiten, die Broschüre "Betriebsbeschreibung - ausfüllen leicht gemacht" und die Betriebsbeschreibung, wie sie bei der Suva im System erfasst war, zu senden. Schliesslich informierte die Suva die Beschwerdeführerin weiter darüber, dass sie als Termin für die Erstellung der Betriebsbeschreibung Ende November 2016 notiert habe (act. 37).</w:t>
      </w:r>
    </w:p>
    <w:p>
      <w:r>
        <w:rPr>
          <w:b/>
        </w:rPr>
        <w:t>E. 4.2.3</w:t>
      </w:r>
    </w:p>
    <w:p>
      <w:r>
        <w:t>Nachdem die Beschwerdeführerin diesbezüglich mit Schreiben vom 30. November 2016 eine Fristerstreckung bis zum 25. Januar 2017 hatte beantragen lassen (act. 40), wurde ihr von der Suva mit Schreiben vom 15. Dezember 2016 im Sinne einer Ausnahme die Erstreckung der Frist bis zum 20. Januar 2017 erstreckt mit dem Hinweis, dass aufgrund der Akten entschieden werde, sollte dieser Aufforderung nicht nachgekommen werden (act. 41). Im Anhang der E-Mail vom 23. Dezember 2016 liess die Beschwerdeführerin der Suva einen vorläufigen Entwurf der Betriebsbeschreibung zukommen und ausführen, anhand diesselben würde man im Januar 2017 weitere Diskussionen führen können (act. 42 und 43). Obwohl die Suva gleichentags den Enthalt des Entwurfs bestätigt und eine Besprechung bezüglich des weiteren Vorgehens Anfang 2017 in Aussicht gestellt (act. 43) und die Beschwerdeführerin die Vorinstanz mit Schreiben vom 20. Januar 2017 darauf aufmerksam gemacht hatte, dass - wie telefonisch besprochen - die Berechnung noch nicht eingegangen sei (act. 49), teilte die Vorinstanz der Beschwerdeführerin - erneut unter Hinweis auf die Säumnisfolgen (Aktenentscheid) - mit Schreiben vom 6. Februar 2017 bloss mit, sie sei bereit, die Frist letztmalig bis zum 20. Februar 2017 zu erstrecken. Zwar befanden sich in der Beilage dieses Schreibens die provisorischen Grundlagenblätter 2016 und 2017 (act. 50), jedoch fehlte wiederum eine nachvollziehbare Erklärung und Berechnung der Prämientarife, was die Beschwerdeführerin auch in einem weiteren Schreiben vom 20. Februar 2017 monierte (act. 54). Ohne Durchführung der seitens der Suva in Aussicht gestellten Besprechung und lediglich gestützt auf einen Entwurf der Betriebsbeschreibung erliess die Suva, ohne sich weiter um entsprechende Erklärungen im Zusammenhang mit dem verfügten Prämientarif zu bemühen, schliesslich am 28. März 2017 den vorliegend angefochtenen Einspracheentscheid betreffend die Einreihung ab 1. Januar 2016.</w:t>
      </w:r>
    </w:p>
    <w:p>
      <w:r>
        <w:rPr>
          <w:b/>
        </w:rPr>
        <w:t>E. 4.3</w:t>
      </w:r>
    </w:p>
    <w:p>
      <w:r>
        <w:t>Im Verwaltungsverfahren besteht gemäss Art. 28 Abs. 1 und 2 ATSG eine Mitwirkungspflicht. Zwar erstreckt sich diese Pflicht im Rahmen der Erstellung einer Betriebsbeschreibung insbesondere auf Tatsachen, welche die mitwirkungspflichtige Person besser kennt als die Verwaltung und welche diese ohne Mitwirkung der Betroffenen gar nicht oder nicht mit vernünftigem Aufwand erheben kann (SVR 2013 UV Nr. 6 S. 22 E. 5.2). Da die Beschwerdeführerin der Suva jedoch im Anhang der E-Mail vom 23. Dezember 2016 einen vorläufigen Entwurf der Betriebsbeschreibung hatte zukommen lassen und weder die von der Vorinstanz gleichentags bestätigte Besprechung im Januar 2017 stattgefunden hatte noch entsprechende, für die Beschwerdeführerin nachvollziehbare Erklärungen abgegeben und Berechnungen vorgenommen worden waren, liegt seitens der Beschwerdeführerin keine unentschuldbare Verletzung der Auskunfts- und Mitwirkungspflichten vor. Vielmehr ist nach dem Dargelegten von einer vor-instanzlichen Verletzung der aus dem Gehörsanspruch fliessenden Begründungspflicht auszugehen. Unter diesen Umständen lässt sich der in Anwendung von Art. 28 Abs. 1 ATSG in Verbindung mit Art. 43 Abs. 3 ATSG ergangene Aktenentscheid vom 28. März 2017 - welchem als Entscheidbasis die (vorläufigen) Angaben der Beschwerdeführerin in deren E-Mail vom 23. Dezember 2016 inkl. Anhang dienten - nicht rechtfertigen. Bei diesem Ergebnis sind die Mahnungen vom 15. Dezember 2016 und 6. Februar 2017 mit Einräumung von Bedenkzeiten und Hinweisen auf die Rechtsfolgen für die Beschwerdeführerin nicht nachteilig.</w:t>
      </w:r>
    </w:p>
    <w:p>
      <w:r>
        <w:rPr>
          <w:b/>
        </w:rPr>
        <w:t>E. 4.4</w:t>
      </w:r>
    </w:p>
    <w:p>
      <w:r>
        <w:t>Nach dem Dargelegten ist zusammenfassend festzuhalten, dass von einer vorinstanzlichen Verletzung der aus dem Gehörsanspruch fliessenden Begründungspflicht auszugehen ist und sich der gestützt auf Art. 28 Abs. 1 ATSG in Verbindung mit Art. 43 Abs. 3 ATSG erlassene Einspracheentscheid der Vorinstanz vom 28. März 2017 nicht rechtfertigen lässt und somit unzulässig war. Da sich das Interesse der Beschwerdeführerin in erster Linie auf Erklärungen im Zusammenhang mit der Einreihung in den Prämientarif und den errechneten Prämien und folglich auf die Durchsetzung eines in formeller Hinsicht korrekten Verfahrens und nicht auf eine möglichst beförderliche Beurteilung ihres Anspruchs richtet (vgl. hierzu BGE 116 V 182 E. 3d), ist der angefochtene Aktenentscheid vom 28. März 2017 aufzuheben und die Vorinstanz anzuweisen, der Beschwerdeführerin anlässlich der in Aussicht gestellten Besprechung die offenen Fragen zu beantworten und im Anschluss daran eine neue Prämienverfügung zu erlassen, gemäss welcher sich die entsprechenden Prämien ohne grossen zeitlichen Aufwand nachvollziehen lassen müssen. Wie bereits dargelegt (vgl. E. 4.1), genügen rudimentäre Äusserungen zu den Prämiensätzen und zur Einreihung in den Prämientarif ab 1. Januar 2016 und Verweise auf das "Grundlagenblatt BUV", die Erläuterungen zum Grundlagenblatt sowie auf den Auszug aus dem Prämientarif der Suva den Anforderungen an die Begründungspflicht nicht. Ergänzend ist schliesslich festzuhalten, dass auch für das Bundesverwaltungsgericht die Einreihung in den Prämientarif 2016 anhand der Ausführungen und Dokumentationen der Suva weder vollständig noch in einem verhältnismässigen Zeitrahmen nachvollziehbar ist.</w:t>
      </w:r>
    </w:p>
    <w:p>
      <w:r>
        <w:rPr>
          <w:b/>
        </w:rPr>
        <w:t>E. 5</w:t>
      </w:r>
    </w:p>
    <w:p>
      <w:r>
        <w:t>Aufgrund der vorstehenden Erwägungen ist die Beschwerde vom 27. April 2017 insoweit gutzuheissen, als der Einspracheentscheid vom 28. März 2017 aufzuheben und die Akten an die Vorinstanz zurückzuweisen sind, damit diese betreffend die Prämie für das Jahr 2016 eine neue Verfügung mit nachvollziehbarer Begründung erlässt. Soweit weitergehend ist die Beschwerde abzuweisen. Bei diesem Verfahrensausgang erübrigt es sich, zu der am 31. Januar 2018 replicando (Ziffer 3) beantragten Durchführung einer Parteiverhandlung sowie zu den Beweisofferten (Zeugenbefragung, Augenschein, Expertise und Parteiauskunft) Stellung zu nehmen.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Der von ihr geleistete Kostenvorschuss in der Höhe von Fr. 2'000.- ist ihr nach Rechtskraft des vorliegenden Urteils zurückzuerstatten. Der Vorinstanz werden ebenfalls keine Verfahrenskosten auferlegt (Art. 63 Abs. 2 VwVG).</w:t>
      </w:r>
    </w:p>
    <w:p>
      <w:r>
        <w:rPr>
          <w:b/>
        </w:rPr>
        <w:t>E. 6.2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die Parteientschädigung auf insgesamt Fr. 3'500.- festzusetzen (inkl. Auslagen und Mehrwertsteuer; Art. 9 Abs. 1 in Verbindung mit Art. 10 Abs. 2 VGKE). Die unterliegende Vorinstanz als Bundesbehörde (BGE 127 V 205) hat keinen Anspruch auf eine Parteientschädigung (Art. 64 Abs. 1 VwVG in Verbindung mit Art. 7 Abs. 3 und 4 VGKE).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