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C-2438/2014 vom 14. November 2014</w:t>
      </w:r>
    </w:p>
    <w:p>
      <w:r>
        <w:t>Bundesverwaltungsgericht, 2014-11-14, DE</w:t>
      </w:r>
    </w:p>
    <w:p>
      <w:r>
        <w:rPr>
          <w:b/>
        </w:rPr>
        <w:t xml:space="preserve">Quelle: </w:t>
      </w:r>
      <w:r>
        <w:t>https://mcp.opencaselaw.ch/entscheid/bvger_C-2438_2014</w:t>
      </w:r>
    </w:p>
    <w:p>
      <w:r>
        <w:t>FR: TAF C-2438/2014 du 14 novembre 2014</w:t>
      </w:r>
    </w:p>
    <w:p>
      <w:r>
        <w:t>IT: TAF C-2438/2014 del 14 novembre 2014</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E.2 m.H.).</w:t>
      </w:r>
    </w:p>
    <w:p>
      <w:r>
        <w:rPr>
          <w:b/>
        </w:rPr>
        <w:t>E. 3.1</w:t>
      </w:r>
    </w:p>
    <w:p>
      <w:r>
        <w:t>In formeller Hinsicht rügt die Beschwerdeführerin, die angefochtene Verfügung enthalte keine Sachverhaltsdarstellung und sei auch nicht begründet, sodass es gar nicht möglich sei auszuführen bzw. auszumachen, welche Punkte oder Angaben anzufechten seien. Sie erhebt damit implizit die Rüge, die Begründungspflicht und damit ihr Anspruch auf rechtliches Gehör sei verletzt worden (vgl. Art. 29 Abs. 2 BV sowie Art. 29 ff. VwVG).</w:t>
      </w:r>
    </w:p>
    <w:p>
      <w:r>
        <w:rPr>
          <w:b/>
        </w:rPr>
        <w:t>E. 3.2</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m.H.; vgl. auch BVGE 2007/27 E. 5.5.2 m.H. sowie Lorenz Kneubühler, in: Kommentar zum VwVG, 2008, Rz. 4 ff. und insb. 9 ff. zu Art. 35 VwVG).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m.H.).</w:t>
      </w:r>
    </w:p>
    <w:p>
      <w:r>
        <w:rPr>
          <w:b/>
        </w:rPr>
        <w:t>E. 3.3</w:t>
      </w:r>
    </w:p>
    <w:p>
      <w:r>
        <w:t>Die Begründung der angefochtenen Verfügung ist zwar knapp und summarisch gehalten, es geht daraus aber ohne weiteres hervor, aus welchem Grund die Vorinstanz ein zweijähriges Einreiseverbot erlassen hat, verweist sie doch explizit auf den illegalen Aufenthalt der Beschwerdeführerin im Schengenraum. Damit dürfte ihr der Sachverhalt hinlänglich bekannt gewesen sein. Ferner hat die Vorinstanz im Rahmen ihrer Vernehmlassung - mit nunmehr genauer Angabe aller Ein- und Ausreisedaten - detailliert auf das fehlbare Verhalten der Beschwerdeführerin hingewiesen. Im Rahmen des ihr gewährten Replikrechts konnte sie somit ihren Standpunkt nochmals erläutern. Die Beschwerdeführerin war damit durchaus in der Lage, die Verfügung sachgerecht anzufechten. Die erhobene Rüge der Gehörsverletzung erweist sich demnach als unbegründet.</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Die Behörde kann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 820/2009 vom 9. März 2011 E. 5 m.H.). 5.1 Die Vorinstanz stützt das Einreiseverbot - wenn auch nicht explizit - auf Art. 67 Abs. 2 Bst. a AuG. Die Beschwerdeführerin habe sich während mehr als dreissig Tagen über den bewilligungsfreien Aufenthalt hinaus illegal im Schengenraum aufgehalten. Damit liege gemäss ständiger Praxis und Rechtsprechung ein ernstzunehmender Verstoss gegen die öffentliche Sicherheit und Ordnung vor. 5.2 Ausländische Personen, die in der Schweiz keiner Erwerbstätigkeit nachgehen, bedürfen für einen Aufenthalt von höchstens 90 Tagen - dies innerhalb eines Zeitraums von sechs Monaten nach der Einreise - keiner Bewilligung, und sie müssen sich nicht anmelden (bewilligungsfreier Aufenthalt; Art. 10 AuG und Art. 9 Abs. 1 VZAE). Die Einreisevoraussetzungen nach Art. 5 AuG müssen während des gesamten bewilligungsfreien Aufenthalts erfüllt sein (Art. 9 Abs. 2 VZAE). An die Höchstaufenthaltsdauer von 90 Tagen anrechenbar sind dabei Aufenthalte in der Schweiz und im übrigen Schengen-Raum. Das ergibt sich aus dem Vorrang des Schengen-Rechts (Art. 2 Abs. 4 AuG) und der Tatsache, dass sich im Anwendungsbereich des Schengen-Rechts visumspflichtbefreite Drittausländer höchstens 90 Tage je Zeitraum von 180 Tagen im Hoheitsgebiet der Schengen-Staaten frei bewegen dürfen, soweit sie die Einreisevoraussetzungen erfüllen (vgl. Art. 20 Abs. 1 des Schengener Durchführungsübereinkommens [SDÜ], Abl. L 239 vom 22. September 2000, S. 19-62], zuletzt geändert durch die Verordnung [EU] Nr. 610/2013 ABl. L182 vom 29. Juni 2013). 5.3 Die Beschwerdeführerin hielt sich vom 15. Oktober 2013 bis am 14. Dezember 2013 während 61 Tagen in der Schweiz auf. Vom 6. Januar 2014 bis zum 3. April 2014 weilte sie erneut für insgesamt 88 Tage in der Schweiz, mithin vor Ablauf des Zeitraums von sechs Monaten gemäss Art. 9 VZAE. Die Beschwerdeführerin hat damit die für einen bewilligungsfreien Aufenthalt zulässige Dauer um 59 Tage überschritten, ohne sich anzumelden bzw. die erforderliche Bewilligung einzuholen (vgl. Art. 10 Abs. 2 und Art. 12 AuG). 5.4 Aufgrund dieses Umstands wurde die Beschwerdeführerin mit Strafbefehl des Statthalteramts Bezirk Bülach vom 24. April 2014 wegen widerrechtlichen Verweilens im Schengenland Schweiz nach Ablauf des bewilligungsfreien Aufenthalts von 90 Tagen (vgl. Art. 115 Abs. 1 Bst. b AuG) zu einer Busse von Fr. 350.- verurteilt. Die strafurteilende Behörde ging dabei von einem fahrlässigen Verhalten nach Art. 115 Abs. 3 AuG aus, womit der Beschwerdeführerin zumindest eine pflichtwidrige Unvorsichtigkeit vorgeworfen werden kann (vgl. dazu Vetterli/D'Addario di Paolo: in Stämpflis Handkommentar zum AuG, 2010, N 15 zu Vorb. Art. 115 - 120). Unter diesen Umständen ist die Verhängung eines Einreiseverbots gerechtfertigt, obliegt es doch jeder Ausländerin und jedem Auslän­der, sich über bestehende Rechte und Pflichten im Zusam­menhang mit ausländerrechtlichen Vorschriften ins Bild zu setzen und sich im Falle von Unklarheiten bei der zuständigen Behörde zu informie­ren (vgl. Urteil des BVGer C 3348/2012 vom 20. März 2014 E. 3.3 m.H.). Ein vorsätzlicher Verstoss gegen ausländerrechtliche Bestimmungen ist mithin nicht erforderlich. 5.5 In dieser Hinsicht wird geltend gemacht, die Beschwerdeführerin habe bei ihrer Einreise in die Schweiz am 6. Januar 2014 nach Vorweisung des Passes die Auskunft erhalten, sie dürfe 88 Tage in der Schweiz bleiben. Dies sei nach Konsultation des Eintrages im elektronischen System des BFM geschehen. Auf diese Auskunft habe sie sich verlassen. Somit habe sie sich nicht strafbar gemacht (vgl. Beschwerde vom 6. Mai 2014 sowie Replik vom 25. Juni 2014). 5.6 Diesbezüglich gilt es zu erwähnen, dass die Beschwerdeführerin lediglich sehr pauschal darlegt, wie es zur obgenannten falschen Auskunft gekommen sein soll. Zudem hat sie weder genaue Angaben zur Auskunftsperson gemacht noch ihre Behauptung mittels schriftlicher Unterlagen belegen können. Kommt hinzu, dass sie anlässlich ihrer Einvernahme durch die Kantonspolizei Zürich vom 3. April 2014 noch mit keinem Wort erwähnte, dass sie die falsche Auskunft anlässlich der Passkontrolle erhalten habe, sondern lediglich ganz allgemein geltend machte, sie habe die Information bekommen, sie dürfe - nach ihrem Aufenthalt im letzten Jahr - im neuen Jahr erneut drei Monate hier bleiben; sie habe nicht gewusst, dass sie innerhalb von einem halben Jahr nur drei Monate bleiben dürfe (vgl. Rapport vom 3. April 2014). Vor diesem Hintergrund erscheint es wenig glaubhaft, dass ihr anlässlich der Ausweiskontrolle eine solche (falsche) Auskunft erteilt wurde, zumal die Einreise- und Ausreisedaten aufgrund von Stempeleinträgen im Reisepass der Beschwerdeführerin problemlos zu ermitteln sind. 5.7 Im Übrigen ist der Strafbefehl vom 24. April 2014 in Rechtskraft erwachsen. Wieso es der Beschwerdeführerin nicht möglich gewesen sein soll, die zehntägige Einsprachefrist nach Erhalt des Strafbefehls zu wahren, wie es in der Beschwerde vom 25. Juni 2014 geltend gemacht wird, ist vorliegend nicht ersichtlich, nachdem eine Einsprache der beschuldigten Person noch nicht einmal eine Begründung erfordert (vgl. Art. 354 Abs. 2 StPO [SR 312.0] sowie Rechtsmittelbelehrung des Strafbefehls vom 24. April 2014). 5.8 Vor diesem Hintergrund gilt es als erstellt, dass die Beschwerdeführerin durch den rechtswidrigen Aufenthalt gegen die öffentliche Sicherheit und Ordnung verstossen und unter dem Gesichtspunkt von Art. 67 Abs. 2 Bst. a AuG hinreichenden Anlass für die Verhängung einer Fernhaltemassnahme gegeben hat.</w:t>
      </w:r>
    </w:p>
    <w:p>
      <w:r>
        <w:rPr>
          <w:b/>
        </w:rPr>
        <w:t>E. 6.1</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Die Beschwerdeführerin hielt sich während rund 59 Tage rechtswidrig in der Schweiz auf. Vorliegend kann somit nicht von einem leichten Fehlverhalten ausgegangen werden, besteht doch an der Einhaltung von Einreise- und Aufenthaltsvorschriften ein gewichtiges öffentliches Interesse. Dabei liegt insbesondere ein generalpräventiv motiviertes öffentliches Interesse an der Fernhaltung der Beschwerdeführerin vor, dies auch im Sinne einer kontinuierlichen Praxis. Zudem ist eine spezialpräventive Zielsetzung der Massnahme darin zu sehen, dass sie die Betroffenen ermahnt, inskünftig den für sie geltenden Regeln nachzuleben. In casu erscheint eine Reduktion der Ver­botsdauer daher nicht als ange­zeigt. Dass die begangene Verfehlung nicht vorsätzlich nachzuweisen ist (vgl. E. 5.4), kann vorliegend keine Rolle spielen, sind doch Einreisever­bote, wie bereits ausgeführt, auch bei fahrlässigen Verstössen gegen Ein­reisebestimmungen zu verhängen (vgl. bspw. vergleichbare Urteile des BVGer C-1712/2011 vom 12. September 2012, C-1667/2010 vom 21. März 2011 und C-7820/2009 vom 4. November 2011).</w:t>
      </w:r>
    </w:p>
    <w:p>
      <w:r>
        <w:rPr>
          <w:b/>
        </w:rPr>
        <w:t>E. 6.3</w:t>
      </w:r>
    </w:p>
    <w:p>
      <w:r>
        <w:t>Als privates Interesse der Beschwerdeführerin fällt vorliegend ins Gewicht, dass sie seit dem 10. Juni 2014 mit einem Schweizer Bürger verheiratet ist (vgl. Auszug aus dem Heiratsregister vom 24. Juni 2014), womit sie sich grundsätzlich auf das Recht auf Familienleben gemäss Art. 8 EMRK und Art. 13 BV berufen kann.</w:t>
      </w:r>
    </w:p>
    <w:p>
      <w:r>
        <w:rPr>
          <w:b/>
        </w:rPr>
        <w:t>E. 6.4</w:t>
      </w:r>
    </w:p>
    <w:p>
      <w:r>
        <w:t>Diesbezüglich gilt es hingegen vorerst zu erwähnen, dass die Verwirklichung des Familienlebens in der Schweiz nicht erst an der ausgesprochenen Fernhaltemassnahme scheitert, sondern bereits an der fehlenden Aufenthaltsregelung (vgl. BVGE 2013/4 E. 7.4.1 m.H.). Entsprechende Interessen wären im Rahmen eines Gesuchs um Familiennachzug zu prüfen und könnten - wie es die Vorinstanz in ihrer Vernehmlassung vom 17. Juni 2014 bereits festgehalten hat - bei Vorliegen eines positiven Entscheides der kantonalen Behörden zur wiedererwägungsweisen Aufhebung der Fernhaltemassnahme durch das BFM führen (vgl. Urteil des BVGer C-1638/2011 vom 10. August 2012 E. 6.3). Den diesbezüglichen Ausführungen der Beschwerdeführerin (vgl. Stellungnahmen vom 25. Juni 2014 sowie 27. August 2014) ist zu entgegnen, dass die Erteilung einer Aufenthaltsbewilligung losgelöst vom Einreiseverbot geprüft werden muss (vgl Urteil des BGer 2C_793/2008 vom 27. März 2009 E. 3.2. m.H.). Der Beschwerdeführerin steht zudem die Möglichkeit offen, aus wichtigen Gründen mittels begründetem Gesuch die zeitweilige Suspension der angeordneten Fernhaltemassnahme zu beantragen (Art. 67 Abs. 5 AuG). Die Suspension wird aber praxisgemäss nur für eine kurze und klar begrenzte Zeit gewährt (vgl. Urteil des BVGer C-2731/2011 vom 18. November 2011 E. 5.2.5). Zudem könnte der Kontakt während der Dauer des Einreiseverbots auch auf andere Weise (Briefverkehr, Telefon, Skype usw.) gepflegt werden. Möglich wären auch Reisen des in der Schweiz lebenden Ehemanns in den Aufenthaltsstaat der Beschwerdeführerin. Die mit dem Einreiseverbot verbundenen Einschränkungen sind demnach zu relativieren. Die sich daraus ergebenden Einschränkungen des Familienlebens sind vom öffentlichen Interesse grundsätzlich gedeckt und von der Beschwerdeführerin hinzunehmen. Schliesslich ist es der Beschwerdeführerin zuzumuten, die administrativen Erschwernisse zur Durchsetzung ihrer Rechte auf sich zu nehmen. Sie hat die Ursachen zur derzeitigen Sachlage gesetzt und ihr obliegt es jetzt, die nötigen Schritte zu unternehmen.</w:t>
      </w:r>
    </w:p>
    <w:p>
      <w:r>
        <w:rPr>
          <w:b/>
        </w:rPr>
        <w:t>E. 6.5</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w:t>
      </w:r>
    </w:p>
    <w:p>
      <w:r>
        <w:rPr>
          <w:b/>
        </w:rPr>
        <w:t>E. 7</w:t>
      </w:r>
    </w:p>
    <w:p>
      <w:r>
        <w:t>Die Vorinstanz hat in der angefochtenen Verfügung ferner die Ausschreibung des Einreiseverbots im SIS angeordnet. Die Beschwerdeführerin ist nicht Bürgerin eines Mitgliedstaates der Europäischen Union. Aufgrund der Ausschreibung im SIS ist es ihr untersagt, den Schengen-Raum zu betreten. Der darin liegende Eingriff wird durch die Bedeutung des Falles gerechtfertigt (vgl. Art. 21 i.V.m. Art. 24 Abs. 2 SIS-II-VO). Zum einen ist aufgrund des Verhaltens der Betroffenen - wie oben ausgeführt - von einer nicht unbeachtlichen Gefährdung der öffentlichen Sicherheit und Ordnung auszugehen, zum andern hat die Schweiz die Interessen der Gesamtheit aller Schengen-Staaten zu wahren (vgl. BVGE 2011/48 E. 6.1). Es bleibt den Schengen-Staaten dabei unbenommen, der ausgeschriebenen Person bei Vorliegen besonderer Gründe die Einreise ins eigene Hoheitsgebiet zu gestatten (vgl. auch Art. 67 Abs. 5 AuG). Die Voraussetzungen für die Ausschreibung im SIS sind demnach ebenfalls erfüllt.</w:t>
      </w:r>
    </w:p>
    <w:p>
      <w:r>
        <w:rPr>
          <w:b/>
        </w:rPr>
        <w:t>E. 8</w:t>
      </w:r>
    </w:p>
    <w:p>
      <w:r>
        <w:t>Aus diesen Erwägungen ergibt sich, dass die angefochtene Verfügung im Lichte von Art. 49 VwVG nicht zu beanstanden ist. Die Beschwerde ist deshalb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