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C-2432/2021 vom 20. April 2021</w:t>
      </w:r>
    </w:p>
    <w:p>
      <w:r>
        <w:t>Bundesverwaltungsgericht, 2021-04-20, DE</w:t>
      </w:r>
    </w:p>
    <w:p>
      <w:r>
        <w:rPr>
          <w:b/>
        </w:rPr>
        <w:t xml:space="preserve">Quelle: </w:t>
      </w:r>
      <w:r>
        <w:t>https://mcp.opencaselaw.ch/entscheid/bvger_C-2432_2021_d20210420</w:t>
      </w:r>
    </w:p>
    <w:p>
      <w:r>
        <w:t>FR: TAF C-2432/2021 du 20 avril 2021</w:t>
      </w:r>
    </w:p>
    <w:p>
      <w:r>
        <w:t>IT: TAF C-2432/2021 del 20 aprile 2021</w:t>
      </w:r>
    </w:p>
    <w:p>
      <w:pPr>
        <w:pStyle w:val="Heading2"/>
      </w:pPr>
      <w:r>
        <w:t>Regeste</w:t>
      </w:r>
    </w:p>
    <w:p>
      <w:r>
        <w:t>Spezialit&amp;auml;tenliste | Krankenversicherung, Spezialitätenliste, Überprüfung der Aufnahmebedingungen alle drei Jahre im Jahr 2020 des Arzneimittels Humira Parenteral, Verfügung BAG vom 20. April 2021</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in der Höhe von Fr. 5'000.- wird der Beschwerdeführerin nach Eintritt der Rechtskraft des vorliegenden Urteils zurückerstattet.</w:t>
      </w:r>
    </w:p>
    <w:p>
      <w:r>
        <w:rPr>
          <w:b/>
        </w:rPr>
        <w:t>E. 3</w:t>
      </w:r>
    </w:p>
    <w:p>
      <w:r>
        <w:t>Es wird keine Parteientschädigung zugesprochen.</w:t>
      </w:r>
    </w:p>
    <w:p>
      <w:r>
        <w:rPr>
          <w:b/>
        </w:rPr>
        <w:t>E. 4</w:t>
      </w:r>
    </w:p>
    <w:p>
      <w:r>
        <w:t>Dieser Entscheid geht an die Beschwerdeführerin, die Vorinstanz und das Eidgenössische Departement des Innern. Für die Rechtsmittelbelehrung wird auf die nächste Seite verwiesen. Die Einzelrichterin: Die Gerichtsschreiberin: Regina Derrer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