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C-2431/2021 vom 29. April 2021</w:t>
      </w:r>
    </w:p>
    <w:p>
      <w:r>
        <w:t>Bundesverwaltungsgericht, 2021-04-29, DE</w:t>
      </w:r>
    </w:p>
    <w:p>
      <w:r>
        <w:rPr>
          <w:b/>
        </w:rPr>
        <w:t xml:space="preserve">Quelle: </w:t>
      </w:r>
      <w:r>
        <w:t>https://mcp.opencaselaw.ch/entscheid/bvger_C-2431_2021_d20210429</w:t>
      </w:r>
    </w:p>
    <w:p>
      <w:r>
        <w:t>FR: TAF C-2431/2021 du 29 avril 2021</w:t>
      </w:r>
    </w:p>
    <w:p>
      <w:r>
        <w:t>IT: TAF C-2431/2021 del 29 aprile 2021</w:t>
      </w:r>
    </w:p>
    <w:p>
      <w:pPr>
        <w:pStyle w:val="Heading2"/>
      </w:pPr>
      <w:r>
        <w:t>Regeste</w:t>
      </w:r>
    </w:p>
    <w:p>
      <w:r>
        <w:t>Rente | Alters- und Hinterlassenenversicherung, Witwerrente, Einspracheentscheid der SAK vom 29. April 2021. Das BGer ist auf die Beschwerde nicht eingetreten.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