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C-2425/2010 vom 19. April 2011</w:t>
      </w:r>
    </w:p>
    <w:p>
      <w:r>
        <w:t>Bundesverwaltungsgericht, 2011-04-19, FR</w:t>
      </w:r>
    </w:p>
    <w:p>
      <w:r>
        <w:rPr>
          <w:b/>
        </w:rPr>
        <w:t xml:space="preserve">Quelle: </w:t>
      </w:r>
      <w:r>
        <w:t>https://mcp.opencaselaw.ch/entscheid/bvger_C-2425_2010</w:t>
      </w:r>
    </w:p>
    <w:p>
      <w:r>
        <w:t>FR: TAF C-2425/2010 du 19 avril 2011</w:t>
      </w:r>
    </w:p>
    <w:p>
      <w:r>
        <w:t>IT: TAF C-2425/2010 del 19 aprile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w:t>
      </w:r>
    </w:p>
    <w:p>
      <w:r>
        <w:rPr>
          <w:b/>
        </w:rPr>
        <w:t>E. 3.2</w:t>
      </w:r>
    </w:p>
    <w:p>
      <w:r>
        <w:t>Les dispositions sur la procédure en matière de visa ainsi que sur l'entrée en Suisse et la sortie de Suisse ne s'appliquent que dans la mesure où les accords d'association à Schengen, qui sont mentionnés au ch. 1 de l'annexe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visas).Aussi, la pratique et la jurisprudence relatives à l'art. 5 LEtr, notamment celles concernant la garantie de sortie prévue par l'art. 5 al. 2 LEtr, peuvent-elles être reprises in casu (sur les détails de cette problématique, cf. ATAF 2009/27 consid. 5.2 et 5.3 p. 344).</w:t>
      </w:r>
    </w:p>
    <w:p>
      <w:r>
        <w:rPr>
          <w:b/>
        </w:rPr>
        <w:t>E. 3.3</w:t>
      </w:r>
    </w:p>
    <w:p>
      <w:r>
        <w:t>Du fait de sa nationalité, A._______ est soumis à l'obligation du visa, conformément à l'art. 1 par. 1 du règlement (CE) no 539/2001 du Conseil du 15 mars 2001 (JO L 81 du 21 mars 2001, p. 1 à 7) et son annexe I.</w:t>
      </w:r>
    </w:p>
    <w:p>
      <w:r>
        <w:rPr>
          <w:b/>
        </w:rPr>
        <w:t>E. 4.1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4.2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5</w:t>
      </w:r>
    </w:p>
    <w:p>
      <w:r>
        <w:t>A ce sujet, il faut prendre en considération la qualité de vie et les conditions économiques particulières que connaît l'ensemble de la population de la Tunisie, pays où, en 2010, le taux de chômage atteignait les 14% et le produit intérieur brut (PIB) par habitant ne s'élevait qu'à USD 4'171.-, soit un niveau plus de dix fois inférieur à celui de la Suisse (cf. site internet du Ministère des affaires étrangères et européennes de la République française www.diplomatie.gouv.fr &gt; pays - zones géo &gt; Tunisie &gt; Présentation, mis à jour le 16 mars 2011, consulté le 15 avril 2011). Ces conditions économiques difficiles, ainsi que la situation instable que connaît actuellement la Tunisie suite aux manifestations insurrectionnelles - menées en protestation contre le chômage, la corruption et la répression policière - survenues dans ce pays en décembre 2010 et janvier 2011 ("Révolution du Jasmin") et ayant abouti au départ du président de la République, Zine el-Abidine Ben Ali, en poste depuis 1987, ne sont pas sans exercer une pression migratoire importante, en particulier sur la population jeune, cette tendance étant encore renforcée lorsque les personnes concernées peuvent s'appuyer à l'étranger sur un réseau social (parents, amis) préexistant, ce qui est le cas en l'espèce. Toutefois, la seule situation dans le pays d'origine du requérant ne suffit pas à conclure à l'absence de garantie quant à son retour à l'issue du séjour, toutes les particularités du cas d'espèce devant être prises en considération.</w:t>
      </w:r>
    </w:p>
    <w:p>
      <w:r>
        <w:rPr>
          <w:b/>
        </w:rPr>
        <w:t>E. 6</w:t>
      </w:r>
    </w:p>
    <w:p>
      <w:r>
        <w:t>En l'occurrence, sans pour autant minimiser les raisons d'ordre affectif qui motivent sa demande, le Tribunal ne saurait admettre, au vu de l'ensemble des éléments du dossier, que le retour de A._______ dans sa patrie au terme de l'autorisation demandée puisse être considéré comme suffisamment garanti. Il ressort certes de l'ensemble des pièces du dossier que le prénommé est âgé de trente-huit ans, marié et père de deux filles de respectivement un peu moins de sept ans et quatre ans. Même si de tels liens peuvent, dans une certaine mesure, inciter une personne, au terme du séjour envisagé en Suisse, à retourner dans son pays, ils ne sauraient toutefois suffire, en l'espèce, à garantir le retour de l'intéressé en Tunisie, d'autant que son épouse et ses filles pourraient le rejoindre ultérieurement par le biais d'un regroupement familial. Sur un autre plan, le recourant a fait valoir, dans son recours du 12 avril 2010, qu'il exploitait la ferme de ses parents et qu'il était propriétaire d'un immeuble composé de huit appartements et de deux magasins (cf. recours du 12 avril 2010 et attestations produites à l'appui dudit pourvoi). Or, ces éléments ne représentent pas davantage un facteur suffisant offrant l'assurance que son départ interviendra dans les délais prévus. En effet, il paraît pour le moins étonnant que l'intéressé n'ait allégué être propriétaire des biens précités qu'au stade du recours. A cela s'ajoute que, dans son courrier du 15 février 2011 (recte: 15 mars 2011), le recourant a expliqué que, pour des raisons financières, il n'était pas enregistré au registre foncier tunisien en tant que propriétaire, que le propriétaire y figurant était l'invitant et que les deux frères étaient en réalité copropriétaires à 50%, ce qui n'a, et pour cause, nullement été démontré. Les incohérences dont sont ainsi empreintes les indications communiquées aux autorités constituent un facteur d'incertitude supplémentaire quant au réel but du séjour de l'invité. Par ailleurs, le fait que ce dernier soit gestionnaire de ces biens, comme il le prétend dans le courrier précité, ne saurait être déterminant, dans la mesure où il résulte du document « historique salaire annuel » du 10 août 2009 figurant au dossier que, pour le deuxième trimestre 2009, il n'a perçu qu'un revenu de 387.453 TND, soit un salaire mensuel de 129.151 TND, ce qui équivaut à environ Fr. 84.-, et que ses revenus ont considérablement diminué depuis le troisième trimestre 2006. Aussi le recourant n'a-t-il pas démontré disposer d'une activité lucrative susceptible de créer certaines attaches économiques avec la Tunisie. Par ailleurs, il est pour le moins surprenant de constater que, si son compte bancaire présentait un solde de 3'812.316 TND au 31 octobre 2009, c'est uniquement en raison d'un versement en espèces de 3'800.000 TND - dont la provenance est du reste inconnue - effectué en sa faveur en date du 19 octobre 2009, soit moins d'un mois avant le dépôt de sa demande de visa Schengen du 17 novembre 2009, alors qu'il ne disposait que d'un solde de 12.316 TND au 31 août 2009 (cf. relevé de compte mensuel de la Banque internationale arabe de Tunisie [BIAT] produit à l'appui de ladite demande). Dans ce contexte et compte tenu du niveau de vie sensiblement plus élevé que présente la Suisse, ainsi que de la situation instable régnant actuellement en Tunisie (cf. consid. 5 supra), les autorités helvétiques ne peuvent donc totalement exclure que l'intéressé ne soit tenté, une fois entré en ce pays, d'y poursuivre son séjour pour y travailler dans le monde agricole, à l'instar d'un grand nombre d'étrangers qui sont actifs en Suisse dans ce domaine, dans l'espoir d'y trouver, fût-ce de manière temporaire, des conditions d'existence meilleures que celles rencontrées dans son pays d'origine, malgré les assurances contraires qui ont été données dans le cadre du recours. Il ne faut pas perdre de vue en effet que cette différence de niveau de vie peut s'avérer déterminante au moment de prendre la décision de quitter sa patrie. Au demeurant, le fait qu'un cousin et un ami de l'invitant aient obtenu des visas d'entrée pour lui rendre visite et qu'ils soient retournés dans leur patrie à l'issue des séjours autorisés - ce qui n'a d'ailleurs nullement été démontré - n'est point de nature à modifier l'analyse faite ci-dessus. En effet, il convient de souligner que chaque demande fait l'objet d'un examen individuel et que, comme déjà exposé ci-dessus, la situation instable que connaît actuellement la Tunisie, ainsi que la situation professionnelle de A._______, ne permettent manifestement pas de lui délivrer un visa.</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w:t>
      </w:r>
    </w:p>
    <w:p>
      <w:r>
        <w:rPr>
          <w:b/>
        </w:rPr>
        <w:t>E. 8</w:t>
      </w:r>
    </w:p>
    <w:p>
      <w:r>
        <w:t>Au vu de l'ensemble des éléments de la cause, le Tribunal estime qu'il ne saurait être reproché à l'ODM d'avoir considéré que le départ de A._______ à l'échéance du visa requis n'était pas suffisamment assuré et, partant, d'avoir refusé la délivrance d'une autorisation d'entrée dans l'Espace Schengen en sa faveur.</w:t>
      </w:r>
    </w:p>
    <w:p>
      <w:r>
        <w:rPr>
          <w:b/>
        </w:rPr>
        <w:t>E. 9</w:t>
      </w:r>
    </w:p>
    <w:p>
      <w:r>
        <w:t>Il ressort de ce qui précède que la décision de l'ODM du 9 mars 2010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L'avance de frais liée à l'administration des preuves et perçue en application de l'art. 33 al. 2 PA est en revanche entièrement restituée au recourant, dans la mesure où le TAF a renoncé à procéder à des investigations complémentaires (cf. ordonnance du 29 mars 2011), compte tenu du courrier de l'intéressé du 15 février 2011 (recte: 15 mars 2011).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