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C-2422/2006 vom 30. April 2009</w:t>
      </w:r>
    </w:p>
    <w:p>
      <w:r>
        <w:t>Bundesverwaltungsgericht, 2009-04-30, DE</w:t>
      </w:r>
    </w:p>
    <w:p>
      <w:r>
        <w:rPr>
          <w:b/>
        </w:rPr>
        <w:t xml:space="preserve">Quelle: </w:t>
      </w:r>
      <w:r>
        <w:t>https://mcp.opencaselaw.ch/entscheid/bvger_C-2422_2006</w:t>
      </w:r>
    </w:p>
    <w:p>
      <w:r>
        <w:t>FR: TAF C-2422/2006 du 30 avril 2009</w:t>
      </w:r>
    </w:p>
    <w:p>
      <w:r>
        <w:t>IT: TAF C-2422/2006 del 30 aprile 2009</w:t>
      </w:r>
    </w:p>
    <w:p>
      <w:pPr>
        <w:pStyle w:val="Heading2"/>
      </w:pPr>
      <w:r>
        <w:t>Regeste</w:t>
      </w:r>
    </w:p>
    <w:p>
      <w:r>
        <w:t>Berufliche Vorsorge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beruflichen Alters-, Hinterlassenen- und Invalidenvorsorge (BVG, SR 831.40), dies in Verbindung mit Art. 33 lit. i VGG. Eine Ausnahme im Sinne von Art. 32 VGG liegt in casu nicht vor.</w:t>
      </w:r>
    </w:p>
    <w:p>
      <w:r>
        <w:rPr>
          <w:b/>
        </w:rPr>
        <w:t>E. 2</w:t>
      </w:r>
    </w:p>
    <w:p>
      <w:r>
        <w:t>Anfechtungsgegenstand des vorliegenden Verfahrens ist der Verwaltungsakt vom 6. Juni 2006 des Volkswirtschaftsdepartements des Kantons Schaffhausen, Aufsicht über die berufliche Vorsorge und Stiftungen (deren Aufsichtszuständigkeit per 1. Januar 2007 dem Amt für Berufliche Vorsorge und Stiftungen des Kantons Zürich [nachfolgend die Vorinstanz] übertragen worden ist), welcher eine Verfügung im Sinne von Art. 5 Abs. 1 VwVG darstellt. Die Beschwerdeführer haben frist- und formgerecht (Art. 50 und 52 VwVG) Beschwerde erhoben. Bei den Beschwerdeführern handelt es sich allesamt um vom umstrittenen Verteilungsplan betroffene Destinatäre. Sie haben vor der Vorinstanz am Verfahren teilgenommen, sind durch die Verfügung als Destinatäre besonders berührt und haben ein schutzwürdiges Interesse an deren Änderung oder Aufhebung (Art. 48 Abs. 1 lit. a, b und c VwVG). Nachdem auch der von der Rechtsmittelinstanz 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w:t>
      </w:r>
    </w:p>
    <w:p>
      <w:r>
        <w:t>Vorab ist die Rüge der Beschwerdeführer zu prüfen, wonach sie im Rahmen der Teilliquidation ungenügend informiert worden seien, was eine Verletzung des rechtlichen Gehörs darstelle.</w:t>
      </w:r>
    </w:p>
    <w:p>
      <w:r>
        <w:rPr>
          <w:b/>
        </w:rPr>
        <w:t>E. 4.1</w:t>
      </w:r>
    </w:p>
    <w:p>
      <w:r>
        <w:t>Gemäss Art. 29 Abs. 2 der Bundesverfassung (BV, SR 101) und Art. 29 in Verbindung mit Art. 30 Abs. 1 VwVG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127 I 56 E. 2b, 127 III 578 E. 2c, 126 V 130 E. 2a; zu Art. 4 Abs. 1 aBV ergangene und weiterhin geltende Rechtsprechung: BGE 126 I 16 E. 2a/aa, 124 V 181 E. 1a, 375 E. 3b, je mit Hinweisen). Das Recht angehört zu werden ist formeller Natur. Die Verletzung des rechtlichen Gehörs führt ungeachtet der Erfolgsaussichten der Beschwerde in der Sache selbst zur Aufhebung der angefochtenen Verfügung (BGE 127 V 437 E. 3d/aa, 126 V 132 E. 2b mit Hinweisen). Nach der Rechtsprechung kann eine - nicht besonders schwerwiegende - Verletzung des rechtlichen Gehörs als geheilt gelten, wenn die betroffene Person die Möglichkeit erhält, sich vor einer Beschwerdeinstanz zu äussern, welche sowohl den Sachverhalt als auch die Rechtslage frei überprüfen kann (BGE 127 V 437 E. 3d/aa, 126 I 72, 126 V 132 E. 2b, je mit Hinweisen).</w:t>
      </w:r>
    </w:p>
    <w:p>
      <w:r>
        <w:rPr>
          <w:b/>
        </w:rPr>
        <w:t>E. 4.2</w:t>
      </w:r>
    </w:p>
    <w:p>
      <w:r>
        <w:t>Vorliegend sind die Beschwerdeführer insbesondere mit Schreiben vom 17. März und vom 7. Juni 2006 (vgl. act. B 3/2 und 3/3) über die durchzuführende Teilliquidation und deren Modalitäten informiert worden, so auch über die kollektive Überweisung der freien Mittel an die Pensionskasse Bosch Schweiz und die beabsichtigte Einsetzung dieser Mittel zu Gunsten der von der Teilliquidation betroffenen Destinatäre. Das zweitgenannte Schreiben ist im Übrigen mit einer Rechtsmittelbelehrung versehen worden. Unter diesen Umständen ist die Rüge der Beschwerdeführer, ihr Anspruch auf rechtliches Gehör sei verletzt worden, unbegründet.</w:t>
      </w:r>
    </w:p>
    <w:p>
      <w:r>
        <w:rPr>
          <w:b/>
        </w:rPr>
        <w:t>E. 5.1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5.2</w:t>
      </w:r>
    </w:p>
    <w:p>
      <w:r>
        <w:t>Vorliegend wird einzig die aufsichtsrechtliche Genehmigung des per 31. Dezember 2004 erstellten Verteilungsplanes (vgl. Dispositivziffer 1 der angefochtenen Verfügung) von den Beschwerdeführern bestritten, welche damit den Streitgegenstand bildet. So rügen die Beschwerdeführer mit ihrem Hauptantrag im Wesentlichen den Beschluss des Stiftungsrates, im Rahmen des Verteilungsplanes die freien Mittel kollektiv auf die neue Vorsorgeeinrichtung übertragen zu wollen und nicht deren individuelle Übertragung auf die abgehenden Destinatäre vorgesehen respektive deren Verwendung zu Gunsten dieser garantiert zu haben. Demgegenüber sind die Vorinstanz und der Beschwerdegegner der Ansicht, dass die kollektive Übertragung des Anteils der Gruppe Abgangsbestand im Rahmen einer pauschalen Überweisung an die neue Pensionskasse nicht zu beanstanden sei, da der Entscheid darüber im Ermessen des Stiftungsrates gelegen habe. Die kollektive Übertragung von Mitteln stelle in der Praxis die übliche Übertragungsart dar, insbesondere wenn es sich um Mittel aus einem patronalen Wohlfahrtsfonds handle. Zudem müssten auch die Interessen der verbleibenden Destinatäre berücksichtigt werden.</w:t>
      </w:r>
    </w:p>
    <w:p>
      <w:r>
        <w:rPr>
          <w:b/>
        </w:rPr>
        <w:t>E. 5.3</w:t>
      </w:r>
    </w:p>
    <w:p>
      <w:r>
        <w:t>Die Beschwerdeführer gehen im Übrigen davon aus, dass im vorliegenden Fall die ab dem 1. Januar 2005 geltenden Bestimmungen über die Teilliquidation (Art. 53b und 53d BVG) und nicht Art. 23 Abs. 4 des Bundesgesetzes über die Freizügigkeit in der beruflichen Alters-, Hinterlassenen- und Invalidenvorsorge (FZG; SR 831.42; in der bis zum 31. Dezember 2004 geltenden Fassung) anwendbar seien, messen aber der Frage keine entscheidende Bedeutung zu, da die Rechte der Destinatäre und die Voraussetzungen für eine Teilliquidation mit der 1. BVG-Revision vom 3. Oktober 2003 nicht geändert hätten. Dem ist grundsätzlich beizupflichten. Allerdings hätte die Anwendung des neues Rechts zur Folge, dass eine Teilliquidation nur gestützt auf ein noch zu erlassendes Teilliquidationsreglement durchgeführt werden könnte (Art. 53b BVG). Vorliegend hat die Aufsichtsbehörde jedoch zu Recht die Voraussetzungen für die per 31. Dezember 2004 durchzuführende bestrittene Teilliquidation noch im Lichte von Art. 23 Abs. 4 FZG (in der bis zum 31. Dezember 2004 geltenden Fassung) geprüft und festgehalten, dass diese Voraussetzungen schon vor Inkrafttreten des neuen Rechts erfüllt waren (vgl. die diesbezüglichen, zutreffenden Ausführungen der Aufsichtsbehörde in ihrer angefochtenen Verfügung, Ziffer II, act. B 16/2, sowie des Beschwerdegegners in seiner Stellungnahme vom 28. September 2006, Ziffer I, E, act. B 16).</w:t>
      </w:r>
    </w:p>
    <w:p>
      <w:r>
        <w:rPr>
          <w:b/>
        </w:rPr>
        <w:t>E. 6.1</w:t>
      </w:r>
    </w:p>
    <w:p>
      <w:r>
        <w:t>Im Rahmen ihrer aufsichtsrechtlichen Aufgaben (Art. 62 BVG) und nach Massgabe von Art. 23 Abs. 1 FZG, beide in der bis zum 31. Dezember 2004 gültigen und vorliegend anwendbaren Fassung, genehmigt die Aufsichtsbehörde den anlässlich einer Teil- oder Gesamtliquidation vom Stiftungsrat erarbeiteten Verteilungsplan. Im Verteilungsplan sind primär der Umfang der zu verteilenden Mittel, der Kreis der begünstigten Personen und die Verteilkriterien zu regeln. Sodann ist auch die Frage nach der kollektiven oder individuellen Abgeltung des Anspruchs auf freie Mittel zu beantworten. Gemäss ständiger Praxis steht der Entscheid, ob Ansprüche individuell oder kollektiv abgegolten werden, im freien Ermessen des Stiftungsrates der abgebenden Vorsorgeeinrichtung (vgl. Isabelle Vetter-Schreiber, Berufliche Vorsorge, Kommentar, Zürich 2005, S. 191). Dem Stiftungsrat sind lediglich (aber immerhin) Grenzen gesetzt durch den Stiftungszweck, die Grundsätze der Verhältnismässigkeit, der Gleichbehandlung und des guten Glaubens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Dies wird auch durch den ab dem 1. Januar 2005 geltenden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6.2.1</w:t>
      </w:r>
    </w:p>
    <w:p>
      <w:r>
        <w:t>Der Stiftungsrat hat im vorliegenden Fall beschlossen, den Anteil der Gruppe Abgangsbestand im Rahmen einer pauschalen Überweisung an die neue Pensionskasse kollektiv zu übertragen, was die Beschwerdeführer aus mehreren Gründen beanstanden. Zur vorliegend umstrittenen Frage, ob der Anteil des Abgangsbestands an den freien Mitteln individuell oder kollektiv auszurichten ist, gibt es keine gefestigte Praxis. Sie wird weder vom hier anzuwendenden FZG (in der bis zum 31. Dezember 2004 geltenden Fassung) noch von den heute geltenden Art. 53a ff. BVG geregelt. Damit bleibt es grundsätzlich dem Stiftungsrat der abgebenden Vorsorgeeinrichtung überlassen, ob die freien Mittel individualisiert oder kollektiv übertragen werden, wobei dessen Beschluss sachgerecht zu sein und das Gleichbehandlungsgebot zu beachten hat (BGE 131 II 533 E. 7.1).</w:t>
      </w:r>
    </w:p>
    <w:p>
      <w:r>
        <w:rPr>
          <w:b/>
        </w:rPr>
        <w:t>E. 6.2.2</w:t>
      </w:r>
    </w:p>
    <w:p>
      <w:r>
        <w:t>Der Beschwerdegegner begründet den Beschluss der kollektiven Übertragung durch den Stiftungsrat unter anderem damit, dass diese Übertragungsart insbesondere üblich sei bei Mitteln aus einem patronalen Wohlfahrtsfonds, welche nicht mit reglementarischen Vorsorgeansprüchen in Verbindung zu bringen seien. Zudem sei nicht ausser Acht zu lassen, dass die verbleibenden Destinatäre auch nicht von einer individuellen Verteilung der Mittel hätten profitieren können. Austretende Destinatäre seien nicht besser zu stellen als die verbleibenden. Mit der kollektiven Übertragung der Mittel sei es der übernehmenden Pensionskasse überlassen, wie sie diese am besten zu Gunsten der betroffenen Destinatäre einsetzen wolle (vgl. act. B 16).</w:t>
      </w:r>
    </w:p>
    <w:p>
      <w:r>
        <w:rPr>
          <w:b/>
        </w:rPr>
        <w:t>E. 6.2.3</w:t>
      </w:r>
    </w:p>
    <w:p>
      <w:r>
        <w:t>Insgesamt erscheinen diese Überlegungen im konkreten Fall als nicht sachwidrig, zumal die Teilliquidation mit Stichtag vom 31. Dezember 2004 direkt durch den Verkauf von sechs "W._______"-Gesellschaften per 30. Juni 2004 ausgelöst wurde und zur (kollektiven) Abnahme des Bestandes von über 700 Destinatären (von ursprünglich knapp 1'100 Aktiven) geführt hat. Mit der eingehend begründeten, nachvollziehbaren Interessensabwägung zwischen den einzelnen Gruppen und dem damit zusammenhängenden Beschluss der kollektiven Übertragung der freien Mitteln hat der Stiftungsrat sein grosses Ermessen, das ihm von Gesetzes wegen zusteht, weder überschritten noch missbraucht. Aus der rein individuellen Optik der Beschwerdeführer mag eine andere Lösung sachgerechter gewesen sein, was aber vorliegend nicht massgebend sein kann; denn der Beschwerdegegner musste zu Recht alle Destinatärsgruppen angemessen berücksichtigen.</w:t>
      </w:r>
    </w:p>
    <w:p>
      <w:r>
        <w:rPr>
          <w:b/>
        </w:rPr>
        <w:t>E. 6.3.1</w:t>
      </w:r>
    </w:p>
    <w:p>
      <w:r>
        <w:t>Die Beschwerdeführer machen insbesondere auch geltend, dass das Gleichbehandlungsgebot verletzt worden sei, indem sie im Vergleich mit den abgehenden Destinatären der früheren Teilliquidationen des Beschwerdegegners (per Ende 2001 und 2002) benachteiligt würden, da bei jenen faktisch eine individuelle Übertragung der Mittel vorgenommen worden sei. Nach dem Gebot der Gleichbehandlung ist Gleiches nach Massgabe seiner Gleichheit gleich und Ungleiches nach Massgabe seiner Ungleichheit ungleich zu behandeln. Nach ständiger Rechtsprechung verstösst ein Entscheid dann gegen Art. 8 Abs. 1 der Bundesverfassung vom 18. April 1999 (BV, SR 101), wenn er sich nicht auf ernsthafte Gründe stützen lässt, sinn- oder zwecklos ist oder wenn rechtliche Unterscheidungen getroffen werden, für die sich ein vernünftiger Grund nicht finden lässt (BGE 132 I 157 E. 4 mit Hinweisen). Zusätzlich verbietet der Grundsatz der Gleichbehandlung, Unterscheidungen ohne sachlichen Grund vorzunehmen, sofern die nicht gerechtfertigte Ungleichbehandlung im konkreten Einzelfall ein gewisses erhebliches Mindestmass erreicht (BGE 131 III 459 E. 5).</w:t>
      </w:r>
    </w:p>
    <w:p>
      <w:r>
        <w:rPr>
          <w:b/>
        </w:rPr>
        <w:t>E. 6.3.2</w:t>
      </w:r>
    </w:p>
    <w:p>
      <w:r>
        <w:t>Bei Teilliquidationen spielt das Gleichbehandlungsgebot in aller Regel eine Rolle, wenn es darum geht, die Interessen der verschiedenen Destinatärsgruppen innerhalb derselben Teilliquidation miteinander zu vergleichen. Eher unüblich - wenn auch möglich - ist es, dieses Prinzip anzurufen, um die Behandlung von Destinatären verschiedener Teilliquidationen derselben Vorsorgeeinrichtung zu prüfen. Bereits der Auslöser, aber auch die Umstände, die Anzahl der Betroffenen und die finanzielle Situation ist häufig derart verschieden - auch zwischen Teilliquidationen, die wie vorliegend "nur" drei Jahre auseinander liegen -, dass es oft fraglich ist, ob das Gebot der Gleichbehandlung in einem solchen Vergleich massgebend sein kann. Zwar ist dieser Grundsatz auch auf längere Sicht zu beachten, jedoch nur dann, wenn die tatsächliche und rechtliche Ausgangslage jeweils dieselbe ist und die Verhältnisse wirklich vergleichbar sind; denn es gibt keinen berufsvorsorgerechtlichen Grundsatz, nach welchem bei in gewissen zeitlichen Abständen aufeinander folgenden Teilliquidationen einer Vorsorgeeinrichtung stets dieselben Kriterien für die Verteilung der freien Mittel anzuwenden wären (BGE 128 II 394 E. 5.4 in fine).</w:t>
      </w:r>
    </w:p>
    <w:p>
      <w:r>
        <w:rPr>
          <w:b/>
        </w:rPr>
        <w:t>E. 6.3.3</w:t>
      </w:r>
    </w:p>
    <w:p>
      <w:r>
        <w:t>Im vorliegenden Fall ist das Argument des Beschwerdegegners, wonach die verschiedenen Zeiträume zwischen auslösendem Ereignis und festgelegtem Stichtag der Teilliquidation eine - ein Stück weit - unterschiedliche Behandlung der jeweils betroffenen Destinatäre rechtfertigt habe, nachvollziehbar und stichhaltig. Anlässlich der ersten Teilliquidation betrug dieser Zeitraum nämlich sechs Jahre (1. Januar 1996 bis 31. Dezember 2001), was mit den sechs Monaten der vorliegend in Frage stehenden Teilliquidation (30. Juni bis 31. Dezember 2004) nicht verglichen werden kann; denn die Gefahr, dass viele Destinatäre aus der übernehmenden Vorsorgeeinrichtung ausscheiden und von den übertragenen Mitteln nicht profitieren können, ist nach sechs Jahren ungleich grösser. Dazu kommt, dass auch bei der ersten Teilliquidation die Mittel kollektiv übertragen wurden, aber die übernehmende Vorsorgeeinrichtung sich verpflichtet hatte, eine individuelle Verteilung auch an jene Destinatäre vorzunehmen, welche zwischenzeitlich ausgeschieden waren. Wenn die übernehmende Vorsorgeeinrichtung im vorliegenden Fall zudem beschlossen hat, die Mittel für die übertretenden Destinatäre einzusetzen, so ist der Unterschied zur Behandlung der Destinatäre, welche anlässlich der ersten Teilliquidation übertraten, nicht derart gross. Dazu kommt, dass in der dritten Teilliquidation prozentual gut dreimal mehr Destinatäre betroffen waren als in der ersten Teilliquidation. Wie der Beschwerdegegner zu Recht ausführt (vgl. Duplik S. 7 und 8, act. 9 BVGer), sind ein Abgangsbestand von rund 7.5% und ein solcher von rund 28% nicht zu vergleichen. Jedenfalls steht es im Ermessen des Stiftungsrates eines Wohlfahrtsfonds, diesen Unterschied zu berücksichtigen und im letzten Fall eine kollektive Übertragung der Mittel vorzusehen. Insgesamt lässt sich auch aus diesem Vergleich zwischen mehreren Teilliquidationen des Beschwerdegegners keine Verletzung des Gleichbehandlungsgebotes ableiten. Dies führt zur Abweisung der Beschwerde im Hauptantrag.</w:t>
      </w:r>
    </w:p>
    <w:p>
      <w:r>
        <w:rPr>
          <w:b/>
        </w:rPr>
        <w:t>E. 7.1</w:t>
      </w:r>
    </w:p>
    <w:p>
      <w:r>
        <w:t>Mit Eventualantrag wollen die Beschwerdeführer einen Aufschub der Genehmigung des Verteilungsplanes erwirken, bis die Zuweisung der Mittel an eine Einrichtung, in welcher die ausschliessliche Verwendung zu Gunsten der Destinatäre verbindlich feststehe, gesichert sei. Mit Stiftungsratsbeschluss vom 7. Dezember 2006 (vgl. act. 9/2) hat die übernehmende Pensionskasse Z._______ entschieden, die kollektiv übertragenen Mittel einzig und alleine zu Gunsten der ehemaligen Destinatäre des Beschwerdegegners einsetzen zu wollen. In diesem Zusammenhang ist auch auf die beiden Informationsschreiben vom 17. März 2006 und vom 7. Juni 2006 des Beschwerdegegners an die Destinatäre hinzuweisen, mit welchen ausdrücklich mitgeteilt wurde, dass die übernehmende Pensionskasse den überwiesenen Betrag zu Gunsten der betroffenen Destinatäre einsetzen werde. Warum die später ausgetretenen Destinatäre davon ausgeschlossen sein sollten resp. wie die Pensionskasse ihren bereits im Dezember 2006 getroffenen Beschluss für die letztgenannten Destinatäre umsetzen will, ist ihr zu überlassen. Jedenfalls entspricht der besagte Stiftungsratsbeschluss dem Eventualbegehren der Beschwerdeführer, so dass dieses gegenstandslos geworden ist.</w:t>
      </w:r>
    </w:p>
    <w:p>
      <w:r>
        <w:rPr>
          <w:b/>
        </w:rPr>
        <w:t>E. 7.2</w:t>
      </w:r>
    </w:p>
    <w:p>
      <w:r>
        <w:t>Soweit die Beschwerdeführer befürchten, dass der Stiftungsrat der übernehmenden Pensionskasse bei der Auszahlung der Austrittsleistung sein Ermessen missbrauchen oder überschreiten und dem Übertragungsvertrag nicht angemessen Rechnung tragen werde, müssten sie zu gegebener Zeit den Klageweg gemäss Art. 73 BVG beschreiten. Im Übrigen ist für den vorliegenden Rechtsstreit nicht relevant, wieviele Destinatäre während des Beschwerdeverfahrens die übernehmende Pensionskasse verlassen haben. Der entsprechende Hinweis der Beschwerdeführer in deren letzten Eingabe vom 20. Dezember 2008 (act. 19 BVGer) ist deshalb unbehelflich.</w:t>
      </w:r>
    </w:p>
    <w:p>
      <w:r>
        <w:rPr>
          <w:b/>
        </w:rPr>
        <w:t>E. 7.3</w:t>
      </w:r>
    </w:p>
    <w:p>
      <w:r>
        <w:t>Bei diesem Ergebnis ist auf die Argumentation der Beschwerdeführer und des Beschwerdegegners betreffend die Zuweisung der freien Mittel an die Vorsorgestiftung V._______ AG und Z._______AG nicht weiter einzugehen.</w:t>
      </w:r>
    </w:p>
    <w:p>
      <w:r>
        <w:rPr>
          <w:b/>
        </w:rPr>
        <w:t>E. 8</w:t>
      </w:r>
    </w:p>
    <w:p>
      <w:r>
        <w:t>Was das Begehren der Beschwerdeführer anbelangt, individuelle Berechnungsfehler zu korrigieren, so betrifft dieses eine Streitigkeit zwischen einer Vorsorgeeinrichtung und Anspruchsberechtigten im Sinne von Art. 73 Abs. 1 BVG, für welche ein kantonales Gericht und nicht das Bundesverwaltungsgericht zuständig ist. Abgesehen davon hat der Beschwerdegegner die Fehler korrigiert.</w:t>
      </w:r>
    </w:p>
    <w:p>
      <w:r>
        <w:rPr>
          <w:b/>
        </w:rPr>
        <w:t>E. 9.1</w:t>
      </w:r>
    </w:p>
    <w:p>
      <w:r>
        <w:t>Entsprechend dem Ausgang des Verfahrens werden die Beschwerdeführer gemäss Art. 63 Abs. 1 VwVG kostenpflichtig. Die Verfahrenskosten sind gemäss dem Reglement vom 21. Februar 2008 über die Kosten und Entschädigungen vor dem Bundesverwaltungsgericht (VGKE, SR 173.320.2) zu bestimmen. Sie werden auf Fr. 4'000.-- festgelegt und den Beschwerdeführern solidarisch auferlegt.</w:t>
      </w:r>
    </w:p>
    <w:p>
      <w:r>
        <w:rPr>
          <w:b/>
        </w:rPr>
        <w:t>E. 9.2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Dem anwaltlich nicht vertretenen Beschwerdegegner wird ebenfalls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