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C-2412/2009 vom 19. November 2012</w:t>
      </w:r>
    </w:p>
    <w:p>
      <w:r>
        <w:t>Bundesverwaltungsgericht, 2012-11-19, DE</w:t>
      </w:r>
    </w:p>
    <w:p>
      <w:r>
        <w:rPr>
          <w:b/>
        </w:rPr>
        <w:t xml:space="preserve">Quelle: </w:t>
      </w:r>
      <w:r>
        <w:t>https://mcp.opencaselaw.ch/entscheid/bvger_C-2412_2009</w:t>
      </w:r>
    </w:p>
    <w:p>
      <w:r>
        <w:t>FR: TAF C-2412/2009 du 19 novembre 2012</w:t>
      </w:r>
    </w:p>
    <w:p>
      <w:r>
        <w:t>IT: TAF C-2412/2009 del 19 novembre 2012</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2011/1 E. 2 S. 4 mit Hinweis).</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Der Begriff der ehelichen Gemeinschaft im Sinne des Bürgerrechtsgesetzes bedeutet mehr als das formelle Bestehen einer Ehe. Verlangt wird eine tatsächliche Lebensgemeinschaft, getragen vom beidseitigen Willen, die Ehe auch künftig aufrecht zu erhalten (vgl. BGE 130 II 482 E. 2, BGE 130 II 169 E. 2.3.1, BGE 128 II 97 E. 3a, BGE 121 II 49 E. 2b).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3.3</w:t>
      </w:r>
    </w:p>
    <w:p>
      <w:r>
        <w:t>Nach Art. 41 Abs. 1 BüG in der bis am 28. Februar 2011 geltenden und damit vorliegend massgebenden Fassung vom 29. September 1952 (AS 1952 1087, nachfolgend: Art. 41 alt Abs. 1 BüG) kann die erleichterte Einbürgerung mit Zustimmung der Behörde des Heimatkantons innert fünf Jahren nichtig erklärt werden, wenn sie durch falsche Angaben oder Verheimlichung erheblicher Tatsachen "erschlichen", d.h. mit einem unlauteren oder täuschenden Verhalten erwirkt wurde. Arglist im Sinne des strafrechtlichen Betrugstatbestandes wird nicht verlangt. Immerhin ist notwendig, dass die gesuchstellende Person bewusst falsche Angaben macht bzw. die mit dem Gesuch um erleichterte Einbürgerung befasste Behörde bewusst im falschen Glauben lässt und so den Vorwurf auf sich zieht, es unterlassen zu haben, über eine erhebliche Tatsache zu informieren (vgl. BGE 135 II 161 E. 2 mit Hinweisen). 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möglicherweise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zutreffen (BGE 132 II 113 E. 3.2).</w:t>
      </w:r>
    </w:p>
    <w:p>
      <w:r>
        <w:rPr>
          <w:b/>
        </w:rPr>
        <w:t>E. 4.1</w:t>
      </w:r>
    </w:p>
    <w:p>
      <w:r>
        <w:t>Das Verfahren betreffend Nichtigerklärung der erleichterten Einbürgerung untersteht dem Verwaltungsverfahrensgesetz (vgl. Art. 1 Abs. 1 und Abs. 2 Bst. a VwVG). Es gilt namentlich der Untersuchungsgrundsatz (Art. 12 VwVG), wobei die betroffene Person verpflichtet ist, bei der Sachverhaltsabklärung mitzuwirken. Die Behörde hat im Anwendungsbereich des Untersuchungsgrundsatzes von Amtes wegen zu prüfen,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Tatsachen (Vermutungsfolge) zu schliessen. Solche sogenannt natürlichen bzw. tatsächlichen Vermutungen können sich in allen Bereichen der Rechtsanwendung ergeben, namentlich auch im öffentlichen Recht. Es handelt sich um Wahrscheinlichkeitsfolgerungen, die auf Grund einer als durchgesetzt bewerteten Lebenserfahrung gezogen werden (vgl. dazu BGE 135 II 161 E. 3 mit Hinweisen). Dazu gehört der Erfahrungssatz, dass der Zerfall einer anfänglich intakten Ehe einen Prozess darstellt, der gewisse Zeit in Anspruch nimmt.</w:t>
      </w:r>
    </w:p>
    <w:p>
      <w:r>
        <w:rPr>
          <w:b/>
        </w:rPr>
        <w:t>E. 4.2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Ernsthaftigkeit ehelicher Probleme nicht erkannte und den wirklichen Willen hatte, mit dem Schweizer Ehepartner auch weiterhin in einer stabilen ehelichen Gemeinschaft zu leben (BGE 135 II 161 E. 3 mit Hinweisen).</w:t>
      </w:r>
    </w:p>
    <w:p>
      <w:r>
        <w:rPr>
          <w:b/>
        </w:rPr>
        <w:t>E. 5</w:t>
      </w:r>
    </w:p>
    <w:p>
      <w:r>
        <w:t>Die erleichterte Einbürgerung des Beschwerdeführers wurde mit Zustimmung des Heimatkantons Aargau innert 5 Jahren nach ihrer Anordnung für nichtig erklärt. Die formellen Voraussetzungen des Art. 41 alt Abs. 1 BüG sind demnach erfüllt.</w:t>
      </w:r>
    </w:p>
    <w:p>
      <w:r>
        <w:rPr>
          <w:b/>
        </w:rPr>
        <w:t>E. 6</w:t>
      </w:r>
    </w:p>
    <w:p>
      <w:r>
        <w:t>In materieller Hinsicht gibt die vorliegende Streitsache zu den folgenden Feststellungen Anlass:</w:t>
      </w:r>
    </w:p>
    <w:p>
      <w:r>
        <w:rPr>
          <w:b/>
        </w:rPr>
        <w:t>E. 6.1</w:t>
      </w:r>
    </w:p>
    <w:p>
      <w:r>
        <w:t>Die Ehegatten haben am 27. Dezember 2003 unterschriftlich den Bestand einer intakten Ehe ohne Trennungs- oder Scheidungsabsichten bestätigt. Kurz darauf, am 16. März 2004, erfolgte die erleichterte Einbürgerung des Beschwerdeführers. Gemäss übereinstimmenden Aussagen der Ehegatten verliess die Ehefrau im Juni 2004 die eheliche Wohnung und am 23. September 2004, d.h. nur etwas mehr als sechs Monate nach der erleichterten Einbürgerung, erfolgte auf Klage der Ehefrau hin die Scheidung der Ehe durch ein türkisches Gericht. Diese Chronologie der Ereignisse begründet ohne weiteres die natürliche Vermutung, dass die Ehe des Beschwerdeführers zum Zeitpunkt der gemeinsamen Erklärung bzw. der erleichterten Einbür­gerung tatsächlich nicht intakt war und die Einbürgerungsbehörde von den Ehegatten über diesen Umstand getäuscht wurde. Diese Vermutung wird zusätzlich durch die Begründung des türkischen Scheidungsurteils vom 23. September 2004 gestützt. Das Scheidungsgericht zitiert darin aus den Rechtsschriften der Parteien. In diesen ist die Rede davon, dass die Ehe von Grund auf zerrüttet sei und keine Möglichkeit für die Fortsetzung des ehelichen Zusammenlebens bestehe, ferner von heftigen Unstimmigkeiten zwischen den Ehegatten und davon, dass das eheliche Leben nicht mehr "zum Aushalten" sei. Unter den gegebenen Umständen obliegt es dem Beschwerdeführer, einen alternativen Geschehensablauf im Sinne des oben dargestellten Gegenbeweises vorzutragen.</w:t>
      </w:r>
    </w:p>
    <w:p>
      <w:r>
        <w:rPr>
          <w:b/>
        </w:rPr>
        <w:t>E. 6.2</w:t>
      </w:r>
    </w:p>
    <w:p>
      <w:r>
        <w:t>Der Beschwerdeführer macht im Rahmen des erstinstanzlichen Verfahrens und in seiner Beschwerdeschrift im Wesentlichen geltend, die Trennung habe sich einzig und allein im Gefühlsleben seiner Ehefrau angebahnt. Als ihm seine Ehefrau anlässlich ihres Geburtstags am 31. Mai 2004 eröffnet habe, dass sie sich scheiden lassen möchte, sei er aus allen Wolken gefallen und in eine tiefe psychische Krise geraten. Bis zu diesem Zeitpunkt habe er keine Ahnung gehabt, was vor sich gehe und dass seine Ehe in Gefahr sei. In der Folge habe er versucht, seine Ehe zu retten und zu diesem Zweck erfolglos die Hilfe einer Eheberatungsstelle in Anspruch genommen. Vor diesem Zeitpunkt habe es lediglich Kontroversen gegeben, wie sie in jeder Partnerschaft vorkämen. Seine Ehefrau führte ergänzend aus, sie habe anfangs Mai 2004 während eines gemeinsamen Ferienaufenthaltes in der Türkei gemerkt, dass sie diese Beziehung nicht mehr wolle. Sie berichtete von Gesprächen zur Kinderfrage, die die Ehegatten in den Monaten nach der gemeinsamen Erklärung zum Zustand der Ehe geführt und die in einem normalen, in jeder Ehe üblichen Rahmen stattgefunden hätten. Dabei habe sie festgestellt, dass ihr Ehemann einen Kinderwunsch hege. Bei sich selbst habe sie gemerkt, dass sie von diesem Mann keine Kinder haben wolle. Sie könne nicht sagen warum, denn der Beschwerdeführer sei ein lieber und guter Ehemann gewesen. Es sei einfach so gewesen. Eine innere Stimme habe sie vor diesem Schritt gewarnt. Irgendetwas habe einfach nicht gestimmt. Das habe sie ihrem Ehemann nicht gesagt, in Gestalt des Trennungsentscheids jedoch die entsprechenden Konsequenzen gezogen.</w:t>
      </w:r>
    </w:p>
    <w:p>
      <w:r>
        <w:rPr>
          <w:b/>
        </w:rPr>
        <w:t>E. 6.3</w:t>
      </w:r>
    </w:p>
    <w:p>
      <w:r>
        <w:t>Die im Rechtsmittelverfahren vom Bundesverwaltungsgericht beigezogenen Akten der mit der Sache befassten Eheberatungsstelle widerlegen die Darstellung des Beschwerdeführers und die seiner geschiedenen Ehefrau teilweise. Gemäss Gesprächsnotiz vom 1. Juli 2004 klagte die Ehefrau über die ungenügende Wertschätzung und Zuneigung seitens des Beschwerdeführers, über das Gefühl, während der gesamten Ehedauer immer nur gegeben und nichts erhalten zu haben, und über tiefgreifende Probleme im Verhältnis zu den beiden Herkunftsfamilien der Ehegatten. Sie habe anfänglich um ihre Ehe gekämpft, dem Beschwerdeführer immer wieder gesagt, was sie von ihm erwarte und sich auch zwei Mal von ihm getrennt, jedoch seien alle ihre Bemühungen vergebens gewesen. Nach jeweils kurzer Zeit sei die Beziehung wieder in die alten Bahnen geraten. Die Unfähigkeit des Beschwerdeführers, sich zu ändern, habe sie nicht verstanden. Dann seien Aggressionen an Stelle der Bemühungen um die Ehe getreten und nun sei nur noch Leere vorhanden. Sie möchte Kinder haben, mit ihrem Ehemann könne sie sich das jedoch nicht vorstellen. Eine Möglichkeit, die Ehe zu retten, sehe sie nicht. Das mache sie sehr traurig. Der Beschwerdeführer selbst räumte laut Gesprächsnotiz vom 17. Juni 2004 ein, seine Ehefrau habe ihn etwa anderthalb Jahre zuvor gewarnt, dass es so nicht weiter gehe. Daraufhin sei es etwa vier Monate gut gegangen, bis sich die alten Verhaltensmuster wieder gezeigt hätten. Die Vorbringen der Ehegatten im Rahmen der Familienberatung lassen somit darauf schliessen, dass die Ehe bereits seit längerem in einer tiefen Krise steckte und daher der Inhalt der gemeinsamen Erklärung zum Zustand der Ehe genauso wenig den Tatsachen entspricht, wie die behauptete Unfähigkeit der geschiedenen Ehefrau, die Gründe zu nennen, weshalb sie von ihrem Ehemann keine Kinder wolle. Ebenso wenig kann davon ausgegangen werden, dass sich die Ehekrise bis Ende Mai 2004 nur in ihrem Gefühlsleben abspielte.</w:t>
      </w:r>
    </w:p>
    <w:p>
      <w:r>
        <w:rPr>
          <w:b/>
        </w:rPr>
        <w:t>E. 6.4</w:t>
      </w:r>
    </w:p>
    <w:p>
      <w:r>
        <w:t>Wenn auch feststeht, dass die Ehe zum Zeitpunkt der gemeinsamen Erklärung bzw. der erleichterten Einbürgerung nicht intakt war, so kann auf der anderen Seite nicht ohne weiteres angenommen werden, dass sich der Beschwerdeführer des objektiv gegebenen Ernstes der Situation auch tatsächlich bewusst war. Es ist hinreichend belegt, dass er die Ehe fortführen wollte, sich bemühte, wieder zu einem Einvernehmen mit seiner Ehefrau zu kommen und in eine tiefe psychische Krise geriet, als er erkennen musste, dass dies nicht möglich war. Darauf deuten nicht nur die zeitnah erstellten Akten der vom Beschwerdeführer angegangenen Familienberatungsstelle hin. Darauf deutet auch ein am 19. Juli 2004 erstelltes ärztliches Zeugnis, in dem bestätigt wird, dass der Beschwerdeführer wegen psychischer Dekompensation bei Zusammenbruch des Privatlebens seit dem 23. Juni 2004 ärztliche Hilfe in Anspruch nehme, sich zurzeit in einem psychischen Ausnahmezustand befinde und gerade noch in der Lage sei, seinen Lebensunterhalt zu verdienen, nicht jedoch die damals anstehenden Prüfungen im Rahmen einer beruflichen Fortbildung abzulegen. Ferner ergibt sich aus den Gesprächsnotizen der Familienberatungsstelle, dass der Beschwerdeführer die Gründe für das Scheitern der Ehe wohl erkannte, dies jedoch im Sinne einer nachträglichen besseren Einsicht. In der Gesprächsnotiz vom 17. Juni 2004 ist diesbezüglich davon die Rede, dass der Beschwerdeführer sich tagein tagaus den Kopf darüber zermartere, was er in seiner Beziehung falsch gemacht habe. Schliesslich ist darauf hinzuweisen, dass der Beschwerdeführer in der Schweiz geboren ist, hier sein gesamtes bisheriges Leben verbrachte und zum Zeitpunkt des Eheschlusses über die Niederlassungsbewilligung verfügte. Er hatte - soweit ersichtlich - ohne weiteres die Möglichkeit, auf dem ordentlichen Weg das Schweizer Bürgerrecht zu erwerben. Für eine Instrumentalisierung der Ehe zwecks Erwerbs eines gesicherten Aufenthaltsrechts bestand für ihn kein erkennbarer Anlass.</w:t>
      </w:r>
    </w:p>
    <w:p>
      <w:r>
        <w:rPr>
          <w:b/>
        </w:rPr>
        <w:t>E. 6.5</w:t>
      </w:r>
    </w:p>
    <w:p>
      <w:r>
        <w:t>Aus den vorstehenden Erwägungen ergibt sich, dass zwischen dem Beschwerdeführer und seiner damaligen Ehefrau zum Zeitpunkt der gemeinsamen Erklärung bzw. der erleichterten Einbürgerung keine stabile und auf Zukunft ausgerichtete eheliche Beziehung mehr bestand. Insoweit besteht kein vernünftiger Zweifel darüber, dass die gemeinsame Erklärung der Ehegatten zum Zustand der ehelichen Gemeinschaft nicht den Tatsachen entsprach und dass jedenfalls die geschiedene Ehefrau des Beschwerdeführers dies auch wusste. Es bestehen jedoch im vorliegenden Fall hinreichende Zweifel an der Schlüssigkeit des Erfahrungssatzes, wonach jemandem in einer Situation, die mit der Lage des Beschwerdeführers vergleichbar ist, der kritische Zustand seiner ehelichen Beziehung bewusst sein muss. Dagegen spricht die hinreichend dokumentierte Reaktion des Beschwerdeführers auf den Scheidungsentschluss seiner Ehefrau sowie seine auch ohne Ehe gesicherte ausländerrechtliche Stellung, die ihm - soweit aus den Akten ersichtlich - ohne weiteres gestattet hätte, aus eigenem Recht die ordentliche Einbürgerung zu erlangen. Somit kann unter den gegebenen Umständen nicht angenommen werden, dass der Beschwerdeführer wissentlich falsche Angaben gemacht bzw. wesentliche Tatsachen verschwiegen und auf diese Weise seine erleichterte Einbürgerung im Sinne von Art. 41 Abs. 1 BüG erschlichen hat. Die materiellen Voraussetzungen für die Nichtigerklärung der erleichterten Einbürgerung sind folglich nicht erfüllt.</w:t>
      </w:r>
    </w:p>
    <w:p>
      <w:r>
        <w:rPr>
          <w:b/>
        </w:rPr>
        <w:t>E. 7</w:t>
      </w:r>
    </w:p>
    <w:p>
      <w:r>
        <w:t>Die angefochtene Verfügung erweist sich nach dem Gesagten als bundesrechtswidrig (Art. 49 VwVG). Die angefochtene Verfügung ist daher in Gutheissung der Beschwerde aufzuheben.</w:t>
      </w:r>
    </w:p>
    <w:p>
      <w:r>
        <w:rPr>
          <w:b/>
        </w:rPr>
        <w:t>E. 8</w:t>
      </w:r>
    </w:p>
    <w:p>
      <w:r>
        <w:t>Für dieses Verfahren sind keine Kosten aufzuerlegen (vgl. Art. 63 Abs. 1 und 2 VwVG), und es ist dem Beschwerdeführer zu Lasten der Vorinstanz für die ihm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2'000.- festzusetzen (inkl. MwSt.).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