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C-2408/2006 vom 24. September 2007</w:t>
      </w:r>
    </w:p>
    <w:p>
      <w:r>
        <w:t>Bundesverwaltungsgericht, 2007-09-24, FR</w:t>
      </w:r>
    </w:p>
    <w:p>
      <w:r>
        <w:rPr>
          <w:b/>
        </w:rPr>
        <w:t xml:space="preserve">Quelle: </w:t>
      </w:r>
      <w:r>
        <w:t>https://mcp.opencaselaw.ch/entscheid/bvger_C-2408_2006</w:t>
      </w:r>
    </w:p>
    <w:p>
      <w:r>
        <w:t>FR: TAF C-2408/2006 du 24 septembre 2007</w:t>
      </w:r>
    </w:p>
    <w:p>
      <w:r>
        <w:t>IT: TAF C-2408/2006 del 24 settembre 2007</w:t>
      </w:r>
    </w:p>
    <w:p>
      <w:pPr>
        <w:pStyle w:val="Heading2"/>
      </w:pPr>
      <w:r>
        <w:t>Regeste</w:t>
      </w:r>
    </w:p>
    <w:p>
      <w:r>
        <w:t>Prévoyance professionnelle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les autorités cantonales de surveillance en matière de surveillance des fondations de prévoyance peuvent être contestées devant le Tribunal administratif fédéral conformément à l'art. 33 let. i LTAF et à l'art. 74 al. 1 LPP, comme d'ailleurs elles pouvaient l'être antérieurement devant la Commission de recours LPP conformément à l'ancien art. 74 al. 2 let. c LPP dans sa teneur en vigueur jusqu'au 31 décembre 2006.</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2</w:t>
      </w:r>
    </w:p>
    <w:p>
      <w:r>
        <w:t>La décision litigieuse du 26 septembre 2002 constitue manifestement une décision au sens de l'art. 5 PA. La qualité pour agir devant la Commission de recours LPP a été confirmée par arrêt du Tribunal fédéral du 4 mai 2006 (ATF 2A.14/2006), lequel a rappelé la qualité pour recourir des institutions de prévoyance auxquelles sont nouvellement affiliés les employés en cas de transfert de leur contrat de travail à un nouvel employeur du fait que celles-ci ont intérêt à connaître les moyens apportés par les employés nouvellement affiliés puisqu'elles doivent administrer leurs prétentions d'assurés (ATF 2A.185/1997 publié in: Die Praxis [Pra] n° 70 p. 435 et in: Revue suisse de droit des assurances sociales [RSAS 2001 p. 374). Le Tribunal de céans doit ainsi se prononcer au fond.</w:t>
      </w:r>
    </w:p>
    <w:p>
      <w:r>
        <w:rPr>
          <w:b/>
        </w:rPr>
        <w:t>E. 3.1</w:t>
      </w:r>
    </w:p>
    <w:p>
      <w:r>
        <w:t>Selon l'art. 23 al. 1 de la Loi fédérale du 17 décembre 1993 sur le libre passage dans la prévoyance professionnelle, vieillesse, survivants et invalidité (LFLP, RS 831.42) en vigueur jusqu'au 31 décembre 2004, en cas de liquidation partielle ou de liquidation totale de l'institution de prévoyance, un droit individuel ou collectif à des fonds libres s'ajoute au droit à la prestation de sortie. L'autorité de surveillance décide si les conditions d'une liquidation partielle ou totale sont remplies. Elle approuve le plan de répartition. L'al. 4 de cette disposition énonce que les conditions d'une liquidation partielle sont présumées lorsque: a) l'effectif du personnel est considérablement réduit; b) l'entreprise est restructurée; c) un employeur résilie le contrat qui le lie à l'institution de prévoyance et que celle-ci subsiste. Depuis le 1er janvier 2005 la liquidation partielle et totale d'une institution de prévoyance est régie par les art. 53b ss LPP sous réserve de l'application des dispositions de la Loi fédérale sur la fusion, la scission, la transformation et le transfert de patrimoine du 3 octobre 2003 (LFus, RS 221.301) en vigueur depuis le 1er juillet 2004). La décision du 26 septembre 2002 dont est recours étant antérieure au 1er janvier 2005, respectivement au 1er juillet 2004, ces dispositions ne sont pas applicables. Le champ d'application de l'art. 23 LFLP dans sa version en vigueur jusqu'au 31 décembre 2004 était limité aux rapports de prévoyance par lesquels une institution de prévoyance accorde des prestations réglementaires auxquelles les bénéficiaires ont un droit lors de la survenance d'un cas de prévoyance (art. 1 al. 2 LFLP). Les fondations patronales n'y étaient pas soumises (Jacques-André Schneider, Fonds libres et liquidation de caisses de pensions, éléments de jurisprudence in: Revue suisse de droit des assurances sociales [RSAS] 2001, p. 479 n° 71). Tel était le cas de la fondation intimée à tout le moins au 31 décembre 1995, voire également à la date de la décision dont est recours sous réserve de la qualification juridique des fonds litigieux. A défaut de règles spécifiques applicables à la liquidation totale ou partielle d'une fondation patronale, la liquidation totale ou partielle d'une fondation de ce type relevait des dispositions générales du droit des fondations. L'art. 57 al. 1 du Code civil suisse (CC, RS 210) règle la destination des biens des personnes morales dissoutes et liquidée et, par analogie, la destination des biens des personnes morales partiellement liquidées. Nonobstant l'obligation de respecter les buts statutaires et réglementaires, les principes généraux du droit sont applicables, à savoir l'interdiction de l'arbitraire, le principe de l'égalité de traitement et le principe de la bonne foi qui trouvent application de jurisprudence constante en droit des fondations (ATF 131 II 533 consid. 5.2. p. 537, 119 Ib 46 consid,. 4c p. 54, 110 II 436 consid. 4 p. 432 s.)</w:t>
      </w:r>
    </w:p>
    <w:p>
      <w:r>
        <w:rPr>
          <w:b/>
        </w:rPr>
        <w:t>E. 3.2</w:t>
      </w:r>
    </w:p>
    <w:p>
      <w:r>
        <w:t>Les modifications structurelles d'une société entraînent souvent des conséquences pour l'institution de prévoyance. La prévoyance peut devoir subir une réorganisation et les institutions être adaptées à la nouvelle situation de la société, en vertu du principe bien établi selon lequel la fortune de prévoyance suit le personnel (Schneider, op. cit., p. 454). En cas de liquidation d'une fondation de prévoyance, les fonds libres doivent être distribués entre les groupes d'assurés selon un plan de répartition proposé par le conseil de fondation à l'autorité de surveillance. L'élaboration de ce plan et les critères de répartition relèvent de la seule compétence du conseil de fondation. Dans ce domaine, ledit conseil dispose d'un large pouvoir d'appréciation lui permettant de décider des critères à retenir. L'exercice de ce pouvoir est limité, on l'a vu, par l'obligation légale de respecter les buts de l'acte de fondation, l'interdiction de l'arbitraire et le principe de la bonne foi et de l'égalité de traitement (Parissima Vez, La fondation: lacunes et droit désirable, Berne 2004, p. 260 et les références citées; ATF 2A.402/2005 consid. 3.2; Revue suisse de droit des assurances [RSAS] 1984 p. 222).</w:t>
      </w:r>
    </w:p>
    <w:p>
      <w:r>
        <w:rPr>
          <w:b/>
        </w:rPr>
        <w:t>E. 3.3</w:t>
      </w:r>
    </w:p>
    <w:p>
      <w:r>
        <w:t>En principe on inclut dans le cercle des bénéficiaires des fonds libres les personnes qui ont quitté l'entreprise dans la période précédant la date déterminante pour la liquidation, qui peut aller jusqu'à trois voire cinq ans (ATF 128 II 394 consid. 3.3 p. 397 s.; ATF 2A.276/2002 consid. 2.2.). L'égalité de traitement n'est en principe pas violée lorsque sont exclus de la répartition des fonds libres les employés qui ont quitté volontairement l'entreprise avant la date déterminante (ATF 128 II 394 consid. 6.4, ATF 2A.276/2002 consid. 2.2). L'exception précitée n'est toutefois pas applicable s'agissant d'actifs devenant retraités de l'oeuvre de prévoyance en quittant l'entreprise.</w:t>
      </w:r>
    </w:p>
    <w:p>
      <w:r>
        <w:rPr>
          <w:b/>
        </w:rPr>
        <w:t>E. 3.4</w:t>
      </w:r>
    </w:p>
    <w:p>
      <w:r>
        <w:t>Les principes évoqués ci-dessus mettent l'accent sur la destination des fonds en faveur des destinataires de l'oeuvre de prévoyance, lesquels ne sauraient être lésés par une affectation de fonds contraires à leurs expectatives devant être prises en compte d'une manière ou d'une autre selon un plan de répartition des fonds libres de l'oeuvre de prévoyance. En d'autres termes, dans le cas d'une liquidation partielle, les salariés partants ont un droit subjectif à une part des fonds libres (Schneider, op. cit. p. 451 ss n° 40 et 46). Ces règles s'appliquent par analogie aux fondations patronales de bienfaisance (ATF 2A.189/2002 consid. 3.2).</w:t>
      </w:r>
    </w:p>
    <w:p>
      <w:r>
        <w:rPr>
          <w:b/>
        </w:rPr>
        <w:t>E. 4</w:t>
      </w:r>
    </w:p>
    <w:p>
      <w:r>
        <w:t>En l'espèce, il n'est pas contesté que les conditions pour procéder à une liquidation partielle de la Fondation étaient remplies vu le grand nombre de salariés ayant quitté l'entreprise par suite du rachat d'une partie de celle-ci (voir ci-dessus consid. 3.1). Est controversée par contre l'existence de fonds libres, c.-à-d. la nature juridique des fonds constituant le Personalfürsorgefonds que les recourants qualifient de fonds libres sujets à répartition et que l'Autorité de surveillance et la Fondation intimée qualifient de fonds affectés à un but de prévoyance. En tout état de cause l'argument selon lequel le Fonds patronal litigieux n'a pas été inclus en partie dans le prix de vente de la partie d'entreprise vendue, et de ce fait ne doit pas faire l'objet d'une répartition, n'est pas pertinent du fait que sa valeur n'était pas un actif de la venderesse mais un actif au bénéfice sous forme d'expectatives de tout ou partie des salariés, les avoirs en question ne pouvant en aucune façon faire retour à l'employeur.</w:t>
      </w:r>
    </w:p>
    <w:p>
      <w:r>
        <w:rPr>
          <w:b/>
        </w:rPr>
        <w:t>E. 5</w:t>
      </w:r>
    </w:p>
    <w:p>
      <w:r>
        <w:t>La nature des fonds litigieux au 31 décembre 1995, date retenue pour la liquidation de la caisse de pensions SIB, est déterminante (cf. ATF 131 II 533 consid. 4.1). Selon le règlement d'organisation du 4 juillet 1985 de la Fondation, un de ses buts est la prise en charge d'éventuels coûts techniques d'assurance de la Caisse de pensions S._______ non couverts par les contributions réglementaires courantes des assurés et de la S._______ (dossier CRLPP 938/02, classeur 1 pce 6). A ce titre a donc figuré au bilan de la Fondation une réserve destinée à couvrir les coûts techniques de la Caisse de pensions S._______, institution offrant les prestations prévues par la LPP aux salariés de l'Entreprise. Dès 1985, cette réserve apparut au bilan sous le poste de fonds de compensation technique ("Technischer Ausgleichsfonds"; dossier CRLPP 938/02, classeur 1 pces 24, 26). Le Fonds de compensation technique, indépendamment de sa nouvelle dénomination, a dès sa création en 1975 eu pour but de financer l'adaptation au coût de la vie des rentes en cours versées par la Caisse de pensions S._______, de sorte que le changement d'appellation du Fonds de compensation technique en réserve de renchérissement des prestations de la Caisse de pensions S._______ intervenu après le 31 décembre 1995 a été sans incidence sur l'affectation des fonds. Le Fonds de compensation technique n'a certes plus constitué des fonds libres vu son affectation expresse de réserve utilisée exclusivement à l'amélioration des prestations de la Caisse de pension S._______ notamment pour les rentes en cours des assurés. Toutefois, comme le relèvent les recourants, cette affectation déterminée ne saurait profiter exclusivement aux bénéficiaires actuels et futurs de rentes de la Caisse de pension S._______. En outre, l'indexation des rentes ne se fonde sur aucune disposition réglementaire et doit dès lors être considérée comme une prestation discrétionnaire. Le montant en question, compte tenu d'une clé de répartition à déterminer, doit bénéficier, d'une part, aux bénéficiaires actuels de la Caisse de pensions S._______ et aux futurs bénéficiaires de rentes de cette Caisse et, d'autre part, aux actuels bénéficiaires de rentes et aux futurs bénéficiaires de rentes concernés par le transfert intervenu au 31 décembre 1995, représentés par les institutions de prévoyance recourantes les assurant. En principe le Fonds en faveur du personnel de N._______ SA devrait être attributaire d'une partie des fonds en question aux fins de financer l'adaptation au coût de la vie des rentes en cours de P._______, Caisse de pensions de N._______ SA. Bien fondé le recours doit être admis et la décision du 26 septembre 2002 de l'Autorité intimée annulée dans le sens de la reconnaissance du principe de la liquidation partielle du Personalfürsorgestiftung der S._______ selon une règle de répartition à déterminer prenant en compte les réquisits du droit des fondations. Au surplus il appartiendra à l'Autorité de surveillance de veiller, lors de l'élaboration du plan de répartition, à ce que l'égalité de traitement entre anciens et actuels destinataires soit garantie.</w:t>
      </w:r>
    </w:p>
    <w:p>
      <w:r>
        <w:rPr>
          <w:b/>
        </w:rPr>
        <w:t>E. 6.1</w:t>
      </w:r>
    </w:p>
    <w:p>
      <w:r>
        <w:t>En vertu de l'art. 63 al. 1 PA, les frais de procédure sont mis à la charge de la partie qui succombe. Toutefois, aucun frais de procédure ne peut être mis à la charge d'une autorité inférieure. En l'occurrence, vu l'issue de la procédure, il n'est pas perçu de frais de procédure et l'avance de frais de Fr. 3'500.- fournie par les recourants leur est remboursée.</w:t>
      </w:r>
    </w:p>
    <w:p>
      <w:r>
        <w:rPr>
          <w:b/>
        </w:rPr>
        <w:t>E. 6.2</w:t>
      </w:r>
    </w:p>
    <w:p>
      <w:r>
        <w:t>En vertu de l'art. 64 al. 1 PA, l'autorité de recours peut allouer, d'office ou sur requête, à la partie ayant entièrement ou partiellement gain de cause une indemnité pour les frais indispensables et relativement élevés qui lui ont été occasionnés. En l'espèce, le Fonds en faveur du personnel de N._______ SA, qui est une institution de prévoyance non chargée de tâches de droit public (cf. ATF 126 V 149 consid. 4), a droit à une indemnité de dépens, cette indemnité est fixée à Fr. 4'000.- à charge de la fondation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