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C-2407/2008 vom 12. Oktober 2010</w:t>
      </w:r>
    </w:p>
    <w:p>
      <w:r>
        <w:t>Bundesverwaltungsgericht, 2010-10-12, FR</w:t>
      </w:r>
    </w:p>
    <w:p>
      <w:r>
        <w:rPr>
          <w:b/>
        </w:rPr>
        <w:t xml:space="preserve">Quelle: </w:t>
      </w:r>
      <w:r>
        <w:t>https://mcp.opencaselaw.ch/entscheid/bvger_C-2407_2008</w:t>
      </w:r>
    </w:p>
    <w:p>
      <w:r>
        <w:t>FR: TAF C-2407/2008 du 12 octobre 2010</w:t>
      </w:r>
    </w:p>
    <w:p>
      <w:r>
        <w:t>IT: TAF C-2407/2008 del 12 ottobre 2010</w:t>
      </w:r>
    </w:p>
    <w:p>
      <w:pPr>
        <w:pStyle w:val="Heading2"/>
      </w:pPr>
      <w:r>
        <w:t>Regeste</w:t>
      </w:r>
    </w:p>
    <w:p>
      <w:r>
        <w:t>Rentes</w:t>
      </w:r>
    </w:p>
    <w:p>
      <w:pPr>
        <w:pStyle w:val="Heading2"/>
      </w:pPr>
      <w:r>
        <w:t>Erwägungen</w:t>
      </w:r>
    </w:p>
    <w:p>
      <w:r>
        <w:rPr>
          <w:b/>
        </w:rPr>
        <w:t>E. 1.1</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l'autorité de céans connaît des recours interjetés par les personnes résidant à l'étranger contre les décisions rendues par la CSC concernant l'assurance 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est dès lors compétent pour connaître de la présente cause.</w:t>
      </w:r>
    </w:p>
    <w:p>
      <w:r>
        <w:rPr>
          <w:b/>
        </w:rPr>
        <w:t>E. 1.2</w:t>
      </w:r>
    </w:p>
    <w:p>
      <w:r>
        <w:t>La LPGA est entrée en vigueur le 1er janvier 2003, entraînant la modification de nombreuses dispositions légales dans le domaine de l'assurance-invalidité. Selon l'art. 2 LPGA, les dispositions de la présente loi sont applicables aux assurances sociales régies par la législation fédérale, si et dans la mesure où les lois spéciales sur les assurances sociales le prévoient. Or, l'art. 1 LAVS mentionne que les dispositions de la LPGA s'appliquent à l'AVS réglée dans la première partie, à moins que ladite loi ne déroge expressément à la LPGA.</w:t>
      </w:r>
    </w:p>
    <w:p>
      <w:r>
        <w:rPr>
          <w:b/>
        </w:rPr>
        <w:t>E. 1.3</w:t>
      </w:r>
    </w:p>
    <w:p>
      <w:r>
        <w:t>Le recourant est particulièrement touché par la décision attaquée et a un intérêt digne de protection à ce qu'elle soit annulée ou modifiée (art. 59 LPGA). Il a, partant, qualité pour recourir.</w:t>
      </w:r>
    </w:p>
    <w:p>
      <w:r>
        <w:rPr>
          <w:b/>
        </w:rPr>
        <w:t>E. 1.4</w:t>
      </w:r>
    </w:p>
    <w:p>
      <w:r>
        <w:t>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LAVS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droits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 Conformément aux art. 29quater et 29quinquies al. 1 LAVS, seules les périodes aux cours desquelles l'ayant droit a exercé une activité lucrative et réalisé des revenus sur lesquels des cotisations ont été prélevées peuvent être prises en compte comme période d'assurance.</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4.3.1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4.3.2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4.4</w:t>
      </w:r>
    </w:p>
    <w:p>
      <w:r>
        <w:t>En l'espèce le recourant conteste la durée des cotisations retenue dans la décision querellée. Il conviendrait, à son sens, de prendre en considération une période de 16 années de cotisations au lieu des 14 ans et 4 mois admis par la CSC. Comme preuve de ses dires, le recourant produit l'extrait de son compte individuel, lequel mentionne le paiement de cotisations pour une période de 150 mois comprises entre 1972 et 1992 - soit une durée bien inférieure aux 16 années qu'il invoque - et un revenu de Fr. 389'476.--. Or, il y a lieu de considérer que la CSC a pris en compte, après instruction et vérification, une période de cotisations nettement plus favorable au recourant, puisqu'elle s'appuie, dans sa décision, sur le versement de cotisations effectué durant 172 mois, pour un revenu de Fr. 473'730.--. Le recourant n'ayant pas démontré avoir versé des cotisations pendant 16 années, il convient de se référer aux données de la CSC que le Tribunal de céans n'a pas de raison de mettre en doute.</w:t>
      </w:r>
    </w:p>
    <w:p>
      <w:r>
        <w:rPr>
          <w:b/>
        </w:rPr>
        <w:t>E. 5.1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2007, tel qu'en l'espèce, ce sont les Tables des rentes 2007 qui sont applicables pour la détermination de l'échelle de rente.</w:t>
      </w:r>
    </w:p>
    <w:p>
      <w:r>
        <w:rPr>
          <w:b/>
        </w:rPr>
        <w:t>E. 5.2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 Dans le cas présent, l'assuré compte 14 années et 4 mois de cotisations. Par rapport aux 44 années de cotisations possibles pour un assuré né en 1942, cela lui donne droit à une rente calculée sur la base de l'échelle 14 (indicateur d'échelles pour les hommes, Tables des rentes 2007, pp. 7 et 10).</w:t>
      </w:r>
    </w:p>
    <w:p>
      <w:r>
        <w:rPr>
          <w:b/>
        </w:rPr>
        <w:t>E. 5.3</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1er LAVS). La répartition est effectuée lorsque soit les deux conjoints ont droit à la rente, une veuve ou un veuf a droit à une rente de vieillesse, le mariage est dissous par le divorce. Dans la présente cause le splitting n'intervient pas pour le calcul de la rente, l'épouse de l'intéressé n'ayant jamais été domiciliée en Suisse.</w:t>
      </w:r>
    </w:p>
    <w:p>
      <w:r>
        <w:rPr>
          <w:b/>
        </w:rPr>
        <w:t>E. 5.4</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est celui correspondant à la première année pour laquelle des cotisations ont été versées entre l'année qui suit l'accomplissement de la vingtième année et celle de l'ouverture du droit à la rente. Ici, le facteur de revalorisation en référence à l'année 2007 pour une première inscription en 1972 est de 1.215 (Table des facteurs de revalorisation 2007).</w:t>
      </w:r>
    </w:p>
    <w:p>
      <w:r>
        <w:rPr>
          <w:b/>
        </w:rPr>
        <w:t>E. 5.5</w:t>
      </w:r>
    </w:p>
    <w:p>
      <w:r>
        <w:t>Durant ses 172 mois d'activité lucrative en Suisse, le recourant a réalisé un revenu de Fr. 473'730.--. Compte tenu du facteur de revalorisation de 1.215, le revenu revalorisé est de Fr. 575'582.--. Le revenu annuel moyen correspondant à la durée de cotisation de 14 ans et 4 mois est de Fr. 40'157.-- [(Fr. 575'582.-- x 12 mois) : 172 mois], montant qui doit être ajusté au multiple directement supérieur figurant dans les tables de rentes 2007, soit Fr. 41'106.--. En 2007, une rente de vieillesse calculée sur la base de l'échelle de rente 14 et d'un revenu annuel moyen de Fr. 41'106.-- se monte à Fr. 540.-- par mois (Tables des rentes 2007, p. 78). Le calcul réalisé par la CSC est donc correct et ne prête pas flanc à la critique.</w:t>
      </w:r>
    </w:p>
    <w:p>
      <w:r>
        <w:rPr>
          <w:b/>
        </w:rPr>
        <w:t>E. 6</w:t>
      </w:r>
    </w:p>
    <w:p>
      <w:r>
        <w:t>Au vu de ce qui précède, il appert que le recours est manifestement infondé. Il convient donc de le rejeter dans le cadre d'une procédure à juge unique en application de l'art. 85bis al. 3 LAVS en relation avec l'art. 23 al. 2 LTAF.</w:t>
      </w:r>
    </w:p>
    <w:p>
      <w:r>
        <w:rPr>
          <w:b/>
        </w:rPr>
        <w:t>E. 7</w:t>
      </w:r>
    </w:p>
    <w:p>
      <w:r>
        <w:t>Il n'est pas perçu de frais de procédure (art. 85bis al. 2 LAVS) ni, vu l'issue du recours,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