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C-2400/2008 vom 31. August 2010</w:t>
      </w:r>
    </w:p>
    <w:p>
      <w:r>
        <w:t>Bundesverwaltungsgericht, 2010-08-31, FR</w:t>
      </w:r>
    </w:p>
    <w:p>
      <w:r>
        <w:rPr>
          <w:b/>
        </w:rPr>
        <w:t xml:space="preserve">Quelle: </w:t>
      </w:r>
      <w:r>
        <w:t>https://mcp.opencaselaw.ch/entscheid/bvger_C-2400_2008</w:t>
      </w:r>
    </w:p>
    <w:p>
      <w:r>
        <w:t>FR: TAF C-2400/2008 du 31 août 2010</w:t>
      </w:r>
    </w:p>
    <w:p>
      <w:r>
        <w:t>IT: TAF C-2400/2008 del 31 agosto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Le recourant a déposé sa demande de prestations le 18 avril 2007.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27 février 2008, date de la décision attaquée, ne serait pas plus favorable au recourant (cf. arrêt du Tribunal fédéral 9C_942/2009 du 15 mars 2010 consid. 3.1). Par conséquent, sauf indication contraire, les dispositions citées ci-après sont celles en vigueur jusqu'au 31 décembre 2007.</w:t>
      </w:r>
    </w:p>
    <w:p>
      <w:r>
        <w:rPr>
          <w:b/>
        </w:rPr>
        <w:t>E. 3.2</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18 avril 2006 (12 mois avant le dépôt de la demande) ou si le droit à une rente était né entre cette date et le 27 février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dont l'état des faits à la base de cette disposition, à savoir la survenance de l'invalidité alléguée, s'est réalisé avant l'entrée en vigueur de la 5ème révision de la LAI le 1er janvier 2008). Le recourant a versé des cotisations à l'AVS/AI pendant plus d'une année au total (OAIE pce 1)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En substance, l'administration, se fondant essentiellement sur l'avis de son service médical et les données contenues dans le rapport médical détaillé E 213 du 24 avril 2007 estime que l'assuré est inapte pour exercer une activité lourde, mais dispose par contre d'une capacité de travail dans une activité de substitution adaptée, ce qui exclut le droit à une rente. Le recourant estime pour sa part que l'ensemble des affections dont il est victime lui donne droit à des prestations de l'assurance-invalidité suisse.</w:t>
      </w:r>
    </w:p>
    <w:p>
      <w:r>
        <w:rPr>
          <w:b/>
        </w:rPr>
        <w:t>E. 9.2</w:t>
      </w:r>
    </w:p>
    <w:p>
      <w:r>
        <w:t>Il est établi que le recourant présente une cardiopathie ischémique, - pour laquelle il a subi, le 30 avril 1996, un quadruple pontage coronarien -, ainsi qu'une double lésion aortique, une calcification de la valve aortique avec sténose et insuffisance. La situation est restée relativement stable depuis lors. L'intéressé a abandonné son travail de conducteur de pelles mécaniques dans la construction, mais a pu reprendre une activité professionnelle auprès de l'entreprise F._______, S.L., à La Coruna, du 14 décembre 2000 au 23 septembre 2004 effectuant des travaux de pesage et de dosage à temps complet, soit 40 heures hebdomadaires, pour un salaire mensuel de EUR 1173.94.</w:t>
      </w:r>
    </w:p>
    <w:p>
      <w:r>
        <w:rPr>
          <w:b/>
        </w:rPr>
        <w:t>E. 9.3</w:t>
      </w:r>
    </w:p>
    <w:p>
      <w:r>
        <w:t>Il ressort des pièces du dossier qu'aussi bien le médecin qui a rédigé le rapport médical détaillé E 213 (point B ci-dessus; OAIE pce 13) que les Drs Y._______ et K._______ du service médical de l'OAIE admettent que l'assuré n'est plus apte au travail physiquement lourd de conducteur d'engins de chantier et doit éviter la manipulation de charges. En effet, le médecin de l'institution sociale espagnole, dans son rapport E 213, a relevé que les travaux lourds et dangereux, exposés aux températures froides, ainsi que ceux requérant l'emploi de rampes ou d'escaliers et les transports d'objets étaient à éviter; par contre, l'état de santé de l'assuré est compatible avec un travail administratif ou devant un écran, pouvant être effectué de manière autonome et à plein temps. Le Dr Y._______ note, dans sa prise de position médicale du 10 décembre 2007 comme diagnostic principal un status après pontage pour cardiomyopathie ischémique avec FE de 65% et comme diagnostic associé sans répercussion sur la capacité de travail une valvulopathie mitro-aortique légère sans atteinte cardiaque fonctionnelle. Il conclut ainsi à une incapacité de travail de 70% dès le 11 avril 1996 dans l'activité habituelle et toute activité lourde et une capacité de travail totale dès le 11 juillet 1996 dans une activité de substitution adaptée (OAIE pce 17 et son annexe II). Dans sa prise de position du 24 juillet 2008, la Dresse K._______ relève quant à elle que l'assuré présente une cardiopathie ischémique pour laquelle il a subi une intervention chirurgicale en 1996. La situation est restée stable depuis lors, sans autre événement cardiaque ni autre; il a pu reprendre une activité professionnelle qu'il a poursuivi pendant 4 ans, sans arrêt de travail prolongé. Actuellement, il est quasi asymptomatique, classe fonctionnelle NYHA I. Ce médecin relève qu'au vu des documents médicaux produits en cause, P._______ est capable de poursuivre la dernière activité exercée, celle-ci étant de type administratif, et confirme la prise de position du 10 décembre 2007 du Dr Y._______ (OAIE pce 22). En revanche, Les médecins ont unanimement admis une capacité de travail résiduelle significative (100%) dans la dernière activité effectuée ou tout autre activité adaptée, notamment de type administratif. Seul le Dr Z._______ relève que l'assuré ne peut entreprendre une quelconque activité lucrative et conclut à une invalidité permanente entière. Cet avis ne peut toutefois être pris en compte; en effet, non seulement il provient du médecin traitant de l'intéressé, mais est en outre peu circonstancié et documenté - ne possédant ainsi pas une valeur probante suffisante selon les critères établis par la jurisprudence en la matière (ATF 125 V 351 consid. 3b/cc).</w:t>
      </w:r>
    </w:p>
    <w:p>
      <w:r>
        <w:rPr>
          <w:b/>
        </w:rPr>
        <w:t>E. 9.4</w:t>
      </w:r>
    </w:p>
    <w:p>
      <w:r>
        <w:t>Dans le cas présent, l'autorité de céans n'a pas de motifs de s'écarter des conclusions concordantes du médecin inspecteur de la sécurité sociale espagnole et du service médical de l'autorité inférieure, fondées sur une analyse attentive des données médicales et résultats d'examens objectifs au dossier. Attendu qu'aucune péjoration de la pathologie existante ou la survenance de nouvelles atteintes n'ont été documentées jusqu'à la date de la décision litigieuse, ni même au cours de la procédure de recours devant l'autorité de céans, force est d'admettre en accord avec les médecins que les limitations fonctionnelles constatées sont tout à fait compatibles avec l'exercice d'une activité de substitution adaptée telle que proposées à temps complet. Le dossier médical est suffisant pour pouvoir statuer sur la période soumise à l'examen du Tribunal; une expertise complémentaire, telle que requise par le recourant, ne se justifie pas. L'OAIE a procédé à l'évaluation de l'invalidité en application de la méthode générale (OAIE pce 18). Comparant un salaire sans invalidité de Fr. 5'652.44 (salaire mensuel moyen en Suisse en 2006 d'un salarié de la construction avec des connaissances professionnelles spécialisées pour un horaire de 41.7 heures par semaine) à un salaire d'invalide de Fr. 4'672.29 (moyenne des salaires mensuels moyens en Suisse en 2006 des salariés dans les branches de l'industrie manufacturière pour des activités simples et répétitives pour un horaire de 42 heures par semaine, abattues de 5% en raison des circonstances personnelles et professionnelles), l'assureur a calculé une perte de gain de 17.34%. L'OAIE a conclu que P._______ subissait, du fait de son atteinte à la santé, une diminution de sa capacité de gain de 17% dès le 11 juillet 1996. Ce calcul ne prête pas flanc à la critique. Force est dès lors de constater que le taux d'invalidité de l'intéressé ne s'élève qu'à 17%, taux insuffisant pour ouvrir le droit à une rente. Le fait que l'intéressé ait obtenu en Espagne une rente entière d'invalidité n'y change rien. Il est bon de préciser ici que, de jurisprudence constante, l'octroi d'une rente étrangère d'invalidité ne préjuge pas de l'appréciation de l'invalidité selon le droit suisse (RCC 1989 p. 330 consid. 2). 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mis en valeur sa capacité résiduelle de travail pour des raisons étrangères à l'invalidité ne relève pas de l'assurance-invalidité, car il s'agit là de facteurs qui ne sont pas liés à l'invalidité et que l'AI n'est pas tenue de prendre en charge (RCC 1991 p. 329 consid. 3c). En effet, des facteurs tels que la formation professionnelle, l'âge ou un arrêt de travail prolongé, ne constituent pas de circonstances supplémentaires propres d'influencer l'étendue de l'invalidité (VSI 1999 p. 247 consid. 1 et réf. cit.).</w:t>
      </w:r>
    </w:p>
    <w:p>
      <w:r>
        <w:rPr>
          <w:b/>
        </w:rPr>
        <w:t>E. 10</w:t>
      </w:r>
    </w:p>
    <w:p>
      <w:r>
        <w:t>Au vu de ce qui précède, la décision entreprise doit être confirmée et le recours rejeté.</w:t>
      </w:r>
    </w:p>
    <w:p>
      <w:r>
        <w:rPr>
          <w:b/>
        </w:rPr>
        <w:t>E. 11</w:t>
      </w:r>
    </w:p>
    <w:p>
      <w:r>
        <w:t>Le recourant, qui succombe, devra payer l'émolument judiciaire relatif à la procédure fédérale et fixé à Fr. 400.-- (art. 63 al. 1 et al. 5 PA en relation avec l'art. 16 al. 1 let. a LTAF ainsi qu'avec les art. 1ss du règlement du 11 décembre 2006 concernant les frais, dépens et indemnités fixés par le Tribunal administratif fédéral [FITAF, RS 173.320.2]). Cet émolument est compensé par l'avance de frais, d'un même montant. Quant à l'autorité inférieure,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