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C-23/2006 vom 4. Juli 2008</w:t>
      </w:r>
    </w:p>
    <w:p>
      <w:r>
        <w:t>Bundesverwaltungsgericht, 2008-07-04, FR</w:t>
      </w:r>
    </w:p>
    <w:p>
      <w:r>
        <w:rPr>
          <w:b/>
        </w:rPr>
        <w:t xml:space="preserve">Quelle: </w:t>
      </w:r>
      <w:r>
        <w:t>https://mcp.opencaselaw.ch/entscheid/bvger_C-23_2006</w:t>
      </w:r>
    </w:p>
    <w:p>
      <w:r>
        <w:t>FR: TAF C-23/2006 du 4 juillet 2008</w:t>
      </w:r>
    </w:p>
    <w:p>
      <w:r>
        <w:t>IT: TAF C-23/2006 del 4 luglio 2008</w:t>
      </w:r>
    </w:p>
    <w:p>
      <w:pPr>
        <w:pStyle w:val="Heading2"/>
      </w:pPr>
      <w:r>
        <w:t>Regeste</w:t>
      </w:r>
    </w:p>
    <w:p>
      <w:r>
        <w:t>Entrée</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d'interdiction d'entrée prononcées par l'ODM - lequel constitue une unité de l'administration fédérale telle que définie à l'art. 33 let. d LTAF - sont susceptibles de recours au TAF (cf. art. 1 al. 2 LTAF), lequel statue de manière définitive (cf. art. 83 let. c. ch. 1 de la loi fédérale du 17 juin 2005 sur le Tribunal fédéral [LTF, RS 173.110]). Les recours pendants devant les commissions fédérales de recours ou d'arbitrage ou devant les services des recours des départements au 1er janvier 2007 sont traités par le Tribunal (dans la mesure où il est compétent) selon le nouveau droit de procédure (cf. art. 53 al. 2 LTAF).</w:t>
      </w:r>
    </w:p>
    <w:p>
      <w:r>
        <w:rPr>
          <w:b/>
        </w:rPr>
        <w:t>E. 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 En revanche, conformément à l'art. 126 al. 2 LEtr, la procédure relative à la présente cause, initiée avant l'entrée en vigueur de la LEtr, le 1er janvier 2008, est régie par le nouveau droit. A moins que la LTAF n'en dispose autrement, la procédure devant le TAF est régie par la PA (art. 37 LTAF).</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4</w:t>
      </w:r>
    </w:p>
    <w:p>
      <w:r>
        <w:t>A._______, qui est directement touché par la décision entreprise, a qualité pour recourir (cf. art. 48 al. 1 PA). Présenté dans la forme et les délais prescrits par la loi, son recours est recevable (cf. art. 50 et 52 PA).</w:t>
      </w:r>
    </w:p>
    <w:p>
      <w:r>
        <w:rPr>
          <w:b/>
        </w:rPr>
        <w:t>E. 5</w:t>
      </w:r>
    </w:p>
    <w:p>
      <w:r>
        <w:t>Il convient de relever en préambule que, selon l'art. 1 let. a aLSEE, cette loi n'est applicable aux ressortissants des Etats membres de la Communauté européenne et aux membres de leur famille que si l'ALCP n'en dispose pas autrement ou si la présente loi prévoit des dispositions plus favorables. En l'espèce, bien que son épouse soit également titulaire de la nationalité française, l'ALCP n'est pas applicable au recourant, dès lors que celui-ci ne peut se prévaloir, en l'état, d'un séjour légal dans l'un des Etats parties à l'accord (cf. ATF 134 II 10 consid. 3.1 et jurisprudence citée). En conséquence, son recours contre la décision de l'ODM du 16 avril 2003 doit être examiné à la lumière des seules dispositions du droit interne et de l'art. 8 de la Convention du 4 novembre 1950 de sauvegarde des droits de l'homme et des libertés fondamentales (CEDH, RS 0.101).</w:t>
      </w:r>
    </w:p>
    <w:p>
      <w:r>
        <w:rPr>
          <w:b/>
        </w:rPr>
        <w:t>E. 6.1</w:t>
      </w:r>
    </w:p>
    <w:p>
      <w:r>
        <w:t>L'autorité fédérale peut interdire l'entrée en Suisse d'étrangers indésirables. Tant que l'interdiction d'entrée est en vigueur, l'étranger ne peut franchir la frontière sans la permission expresse de l'autorité qui l'a prononcée (art. 13 al. 1 aLSEE).</w:t>
      </w:r>
    </w:p>
    <w:p>
      <w:r>
        <w:rPr>
          <w:b/>
        </w:rPr>
        <w:t>E. 6.2</w:t>
      </w:r>
    </w:p>
    <w:p>
      <w:r>
        <w:t>Selon la jurisprudence relative à cette disposition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w:t>
      </w:r>
    </w:p>
    <w:p>
      <w:r>
        <w:rPr>
          <w:b/>
        </w:rPr>
        <w:t>E. 6.3</w:t>
      </w:r>
    </w:p>
    <w:p>
      <w:r>
        <w:t>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63.38 consid. 13 et 63.1 consid. 12a et réf. citées).</w:t>
      </w:r>
    </w:p>
    <w:p>
      <w:r>
        <w:rPr>
          <w:b/>
        </w:rPr>
        <w:t>E. 7</w:t>
      </w:r>
    </w:p>
    <w:p>
      <w:r>
        <w:t>En l'espèce, A._______ a été condamné, le 18 août 1999, par le Tribunal de grande instance de Chambéry, à trois ans d'emprisonnement, dont un an avec sursis assorti d'un délai d'épreuve de trois ans, pour entrée ou séjour irrégulier d'un étranger en France, recel d'un objet provenant d'un vol, usage de faux dans un document administratif constatant un droit, une identité ou une qualité et escroquerie réalisée en bande organisée. Par jugement du 8 novembre 2002, le Tribunal de grande instance de Chambéry a ensuite condamné A._______ à trois ans d'emprisonnement pour complicité d'escroquerie en récidive légale, entrée ou séjour irrégulier, recel de bien provenant d'un vol, usage de faux dans un document et escroquerie réalisée en bande organisée. Il apparaît ainsi que les délits commis par A._______ sont, par leur nature, suffisamment graves pour justifier une mesure d'éloignement telle que prononcée par l'ODM. Il ressort en effet du jugement du 18 août 1999 que le recourant avait notamment trompé des banques, courant 1998 jusqu'au 30 octobre 1998, en employant des manoeuvres frauduleuses, en ouvrant ou en faisant ouvrir à l'aide de faux documents des comptes bancaires, en faisant des remises alternées de chèques sans provision afin de créer une trésorerie artificielle avec collusion entre le tireur et le bénéficiaire des chèques, et de les avoir ainsi déterminées à lui remettre des fonds, des moyens de paiement, chéquiers, cartes bancaires à leur préjudice et au préjudice de divers commerçants et autres victimes et ce, en bande organisée, comme faisant partie d'un réseau structuré, comprenant plusieurs personnes et qu'il avait, de courant 1996 à octobre 1998, par ailleurs sciemment recelé un passeport diplomatique dont il avait fait usage après que celui-ci eut été falsifié (apposition de son identité et de sa photographie). Il ressort ensuite du jugement du 8 novembre 2002 que, d'octobre 2001 au 3 décembre 2001, A._______ s'était rendu complice, en récidive légale, par aide ou assistance et fourniture d'instruction des escroqueries commises par X. qui, en faisant usage d'un faux nom ou en employant des manoeuvres frauduleuses, en l'espèce en utilisant un chéquier au nom de Y. a trompé des personnes pour les déterminer à lui remettre des biens ou fournir des services, d'avoir en outre sciemment recelé des biens ou services obtenus à l'aide de ces escroqueries (billets SNCF) et d'avoir enfin détenu frauduleusement un document délivré par une administration publique en vue de constater un droit, une identité ou une qualité, en l'espèce un permis de conduire au nom de Y. Dans ce dernier jugement, le Tribunal de grande instance de Chambéry a relevé en particulier que "compte tenu de ses antécédents judiciaires et de la gravité des faits, seule une peine d'emprisonnement ferme apparaît de nature à constituer une juste sanction et à inciter le prévenu à cesser de commettre des actes délictueux". Aussi, au regard de l'ampleur de l'activité délictueuse déployée par le recourant et de la gravité des actes pour lesquels il a été condamné à deux reprises à des peines de trois ans d'emprisonnement, le TAF considère que celui-ci répond indiscutablement à la qualification d'étranger indésirable telle que définie à l'art. 13 al. 1 phr. 1 aLSEE et par la jurisprudence y relative, de sorte qu'il réalise les conditions d'application de cette disposition.</w:t>
      </w:r>
    </w:p>
    <w:p>
      <w:r>
        <w:rPr>
          <w:b/>
        </w:rPr>
        <w:t>E. 8</w:t>
      </w:r>
    </w:p>
    <w:p>
      <w:r>
        <w:t>Dans son recours, A._______ fait valoir que l'interdiction d'entrée prise à son encontre porte atteinte au droit au respect de sa vie privée et familiale garantis par l'art. 8 par. 1 CEDH, dès lors que son épouse et ses filles, toutes de nationalité suisse, vivent sur territoire helvétique.</w:t>
      </w:r>
    </w:p>
    <w:p>
      <w:r>
        <w:rPr>
          <w:b/>
        </w:rPr>
        <w:t>E. 8.1</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Cst.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8.2</w:t>
      </w:r>
    </w:p>
    <w:p>
      <w:r>
        <w:t>En l'espèce, au regard de la gravité des délits commis par A._______, qui plus est en récidive, le Tribunal est amené à considérer que l'intérêt public à l'éloignement de l'intéressé l'emporte sur son intérêt privé à pouvoir entrer librement en Suisse pour y rencontrer sa femme et ses enfants. Il apparaît ainsi que l'ODM a procédé à une pesée des intérêts en présence qui n'est pas critiquable, si bien que la décision querellée est compatible avec l'art. 8 par. 2 CEDH et ne viole donc pas le principe de la proportionnalité. Cette appréciation respecte en effet les critères auxquels se réfère la jurisprudence (130 II 176 c. 4.1 et jurisprudence citée) dans l'examen de la pesée des intérêts, lorsqu'un ressortissant étranger qui fait valoir un droit à la protection de sa vie familiale, a été condamné à de lourdes peines privatives de liberté.</w:t>
      </w:r>
    </w:p>
    <w:p>
      <w:r>
        <w:rPr>
          <w:b/>
        </w:rPr>
        <w:t>E. 8.3</w:t>
      </w:r>
    </w:p>
    <w:p>
      <w:r>
        <w:t>Il convient ici de préciser que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Martin Bertschi/Thomas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impliquer la garantie d'un droit d'entrée et de présence temporaire dans l'Etat contractant (Philip Grant, La protection de la vie familiale et de la vie privée en droit des étrangers, Bâle/Genève/Munich 2000, p. 293 et 321).</w:t>
      </w:r>
    </w:p>
    <w:p>
      <w:r>
        <w:rPr>
          <w:b/>
        </w:rPr>
        <w:t>E. 9</w:t>
      </w:r>
    </w:p>
    <w:p>
      <w:r>
        <w:t>L'interdiction d'entrée en Suisse étant confirmée dans son principe, il convient encore d'examiner si sa durée, portant sur une période indéterminée, satisfait aux principes de proportionnalité et d'égalité de traitement.</w:t>
      </w:r>
    </w:p>
    <w:p>
      <w:r>
        <w:rPr>
          <w:b/>
        </w:rPr>
        <w:t>E. 9.1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p. 69; 128 II 292 consid. 5.1, pp. 297/298; JAAC 64.36 consid. 4b, 63.1 consid. 12c). L'interdiction d'entrée qui frappe un étranger indésirable au sens de l'art. 13 al. 1 1ère phrase aLSEE n'est soumise à aucune limitation légale dans le temps; elle peut être prononcée, par exemple, pour une durée de cinq ans, de dix ans, voire pour une durée indéterminée. En effet, la durée maximale de trois ans ne s'applique qu'aux interdictions d'entrée prises à l'encontre d'étrangers auteurs d'infractions à des prescriptions dont la nature est précisée par l'art. 13 al. 1 2e phrase aLSEE et l'art. 17 al. 4 aRSEE (cf. JAAC 63.1 consid. 12c).</w:t>
      </w:r>
    </w:p>
    <w:p>
      <w:r>
        <w:rPr>
          <w:b/>
        </w:rPr>
        <w:t>E. 9.2</w:t>
      </w:r>
    </w:p>
    <w:p>
      <w:r>
        <w:t>En l'espèce, il apparaît que le recourant a fait l'objet de deux graves condamnations en l'espace de trois ans (1999 et 2002), qu'une partie des délits ont été commis en bande et se sont déroulés sur une période relativement importante (1996 à 1998). De plus, certaines de ces infractions ont été commises en récidive, le recourant ayant ainsi démontré une inclination certaine à la délinquance, ainsi qu'une absence totale de volonté de respecter les lois de son pays de résidence (la France) et une incapacité à s'amender. Par conséquent, apprécié sous l'angle de la protection de l'ordre et de la prévention des infractions, le comportement délictueux du recourant nécessite une intervention adéquate des autorités fédérales à son endroit. Dans ces circonstances, l'ODM était fondé à prononcer une mesure destinée à protéger la communauté des agissements d'un étranger ayant porté gravement atteinte à l'ordre public. D'autre part, il n'est pas contesté que le recourant possède en Suisse de réelles attaches, du fait de la présence de son épouse et de ses deux filles. Néanmoins, ces liens ne peuvent être tenus pour prépondérants au point, en l'état actuel, de reléguer au second rang les préoccupations des autorités helvétiques chargées de veiller à la sauvegarde de l'ordre et de la sécurité publics, ce d'autant moins que l'interdiction d'entrée n'empêche pas toutes relations ailleurs qu'en Suisse, même si elles sont rendues plus difficiles. Tenant compte tenu de l'ensemble des éléments objectifs et subjectifs de la cause, et vu la présence en Suisse de son épouse et de ses enfants, avec lesquels le recourant a conservé des relations familiales malgré la distance qui les sépare, le Tribunal considère qu'une mesure d'éloignement de durée indéterminée est excessive. Aussi, eu égard aux années écoulées depuis la sortie de prison du recourant en 2004 et compte tenu de ce que celui-ci paraît avoir désormais adopté un comportement plus respectueux des lois, le prononcé d'une interdiction d'entrée d'une durée de dix ans se révèle proportionnée au but de sauvegarde de l'ordre public visé par une telle mesure. Enfin, il convient de relever ici que le recourant peut solliciter ponctuellement la suspension temporaire de la mesure prononcée le 16 avril 2003 pour l'exercice de relations privées et familiales avec son épouse et ses enfants, aux conditions définies dans l'arrêt que le Tribunal a rendu, également ce jour, sur le recours portant sur sa demande de suspension du 6 juin 2007.</w:t>
      </w:r>
    </w:p>
    <w:p>
      <w:r>
        <w:rPr>
          <w:b/>
        </w:rPr>
        <w:t>E. 10</w:t>
      </w:r>
    </w:p>
    <w:p>
      <w:r>
        <w:t>Le recours est en conséquence partiellement admis et la décision de l'ODM du 16 avril 2003 est réformée en ce sens que les effets de l'interdiction d'entrée sont limités au 16 avril 2013. Cela étant, il y a lieu de mettre des frais réduits à la charge du recourant (art. 63 al. 1 PA en relation avec les art. 1 à 3 du règlement du 21 février 2008 concernant les frais, dépens et indemnités fixés par le Tribunal administratif fédéral [FITAF, RS 173.320.2]). Obtenant partiellement gain de cause, il convient d'accorder au recourant des dépens réduits (art. 64 al. 1 PA en relation avec l'art. 7 al. 2 FITAF). A._______ n'ayant été représenté par un mandataire professionnel que de manière marginale et seulement en fin de procédure, le Tribunal estime, au regard des art. 8ss FITAF, que le versement de Fr. 500.-- (TVA comprise) à titre d'indemnité pour les frais nécessaires causés par le litige apparaît comme équitable.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