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C-2399/2010 vom 9. November 2010</w:t>
      </w:r>
    </w:p>
    <w:p>
      <w:r>
        <w:t>Bundesverwaltungsgericht, 2010-11-09, FR</w:t>
      </w:r>
    </w:p>
    <w:p>
      <w:r>
        <w:rPr>
          <w:b/>
        </w:rPr>
        <w:t xml:space="preserve">Quelle: </w:t>
      </w:r>
      <w:r>
        <w:t>https://mcp.opencaselaw.ch/entscheid/bvger_C-2399_2010</w:t>
      </w:r>
    </w:p>
    <w:p>
      <w:r>
        <w:t>FR: TAF C-2399/2010 du 9 novembre 2010</w:t>
      </w:r>
    </w:p>
    <w:p>
      <w:r>
        <w:t>IT: TAF C-2399/2010 del 9 novembre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La procédure est régie par la PA, la LTAF et la LTF, à moins que la LAsi n'en dispose autrement (art. 6 LAsi).</w:t>
      </w:r>
    </w:p>
    <w:p>
      <w:r>
        <w:rPr>
          <w:b/>
        </w:rPr>
        <w:t>E. 1.3</w:t>
      </w:r>
    </w:p>
    <w:p>
      <w:r>
        <w:t>A._______ a qualité pour recourir (cf. art. 105 LAsi et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106 al. 1 LAsi et art. 49 PA). A teneur de l'art. 62 al. 4 PA, l'autorité de recours n'est pas liée par les motifs invoqués à l'appui du recours. Aussi peut-elle admettre ou rejeter le pourvoi pour d'autres motifs que ceux invoqués. Dans sa décision, elle prend en considération l'état de fait et l'état de droit régnant au moment où elle statue (cf. consid. 1.2 de l'arrêt du Tribunal fédéral 2A.451/2002 du 28 mars 2003, partiellement publié in ATF 129 II 215).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abrogé les alinéas 3 à 5 de l'art. 44 LAsi (RO 2006 4767). Ces derniers prévoyaient, à certaines conditions, la possibilité de prononcer l'admission provisoire au bénéfice de requérants d'asile se trouvant dans des cas de détresse personnelle grave. L'art. 14 al. 2 LAsi a fait évoluer la situation sous deux aspects. D'une part, le cercle des bénéficiaires s'est élargi aux requérants d'asile déboutés. D'autre part, le statut juridique des personnes concernées s'est amélioré, en cela que ces dernières se voient désormais octroyer une autorisation de séjour et non plus uniquement l'admission provisoire (pour davantage de détails, cf. ATAF 2009/40 consid. 3.1 p. 562). Lorsqu'il entend faire usage de l'art. 14 al. 2 LAsi, le canton le signale immédiatement à l'ODM (cf. art. 14 al. 3 LAsi).</w:t>
      </w:r>
    </w:p>
    <w:p>
      <w:r>
        <w:rPr>
          <w:b/>
        </w:rPr>
        <w:t>E. 3.2</w:t>
      </w:r>
    </w:p>
    <w:p>
      <w:r>
        <w:t>A l'origine, les critères à prendre en considération pour l'appréciation d'un cas de rigueur au sens de l'art. 14 al. 2 LAsi se sont retrouvés énumérés, dès le 1er janvier 2007, à l'art. 33 de l'ordonnance 1 du 11 août 1999 sur l'asile relative à la procédure (OA 1, RS 142.311).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l'art. 33 OA 1 a été abrogé et remplacé par l'art. 31 OASA, lequel comprend dorénavant une liste exemplative des critères à examiner pour la reconnaissance des cas individuels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précité consid. 3.4.2, p. 564,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le recourant réside en Suisse depuis le 14 avril 2004 et remplit dès lors les conditions temporelles posées par l'art. 14 al. 2 LAsi. Par ailleurs, le canton est habilité à lui octroyer une autorisation de séjour sur son territoire, compte tenu de son attribution à ce canton en application de la loi sur l'asile (cf. art. 14 al. 2 phr. 1 LAsi). Le lieu de séjour de l'intéressé a toujours été connu des autorités, si bien que celui-ci remplit également la condition posée à l'art. 14 al. 2 let. b LAsi. En outre, le dossier du recourant a été transmis à l'ODM pour approbation sur proposition du SPOP du 12 octobre 2009, conformément à l'art. 14 al. 3 LAsi. Il reste donc à examiner si la situation de A._______ relève d'un cas de rigueur grave en raison de son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précité consid. 5.2 et 5.3, p. 568 ss).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cf. ATF 130 II 39 consid. 3). Il ressort du texte et de l'emplacement de l'art. 14 al. 2 LAsi (qui suit l'art. 14 al. 1 LAsi, lequel consacre le principe de l'exclusivité des procédures d'asile, cf. consid. 3.3 supra) que cette disposition est également appelé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p. 571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w:t>
      </w:r>
    </w:p>
    <w:p>
      <w:r>
        <w:rPr>
          <w:b/>
        </w:rPr>
        <w:t>E. 6</w:t>
      </w:r>
    </w:p>
    <w:p>
      <w:r>
        <w:t>Dans le cadre de la présente procédure, le recourant a mis en exergue la durée de son séjour en Suisse, ainsi que les capacités d'intégration qu'il y aurait démontrées par l'apprentissage du français, par l'obtention d'un diplôme de coiffeur en 2007 et par l'indépendance financière qu'il y a acquise depuis le 1er juin 2009.</w:t>
      </w:r>
    </w:p>
    <w:p>
      <w:r>
        <w:rPr>
          <w:b/>
        </w:rPr>
        <w:t>E. 6.1</w:t>
      </w:r>
    </w:p>
    <w:p>
      <w:r>
        <w:t>Le recourant réside certes en Suisse depuis le 14 avril 2004 et totalise dès lors six années et demi de séjour dans ce pays. Il s'impose de rappeler toutefois à cet égard que le simple fait pour un étranger de séjourner en Suisse pendant plusieurs années, y compris à titre légal, ne permet pas d'admettre un cas personnel d'extrême gravité (cf. arrêt du Tribunal fédéral 2A.540/2005 du 11 novembre 2005 consid. 3.2.1, voir également ATAF 2007/16 consid. 7). Il faut dès lors examiner les critères d'évaluation qui, autres que la seule durée du séjour en Suisse, pourraient rendre le retour de l'intéressé en Turquie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6.2</w:t>
      </w:r>
    </w:p>
    <w:p>
      <w:r>
        <w:t>S'agissant de l'intégration socioprofessionnelle du recourant, force est de constater que, comparée à celle de la moyenne des étrangers présents en Suisse depuis de nombreuses années, elle ne revêt aucun caractère exceptionnel. En effet, bien que l'intéressé puisse, de fait, se prévaloir d'une certaine intégration par la durée de son séjour dans ce pays, puis par l'activité professionnelle qu'il y exerce depuis 2009, le Tribunal ne saurait pour autant considérer que celui-ci se soit créé avec la Suisse des attaches à ce point profondes et durables qu'il ne puisse plus raisonnablement envisager un retour dans son pays d'origine. Il convient de relever ainsi que, nonobstant la formation de coiffeur qu'il y a acquise en 2007, le recourant n'a entamé une activité lucrative qu'en 2009, soit cinq ans après son arrivée dans ce pays et qu'il n'a au surplus exercé que des emplois peu qualifiés (serveur). La longue période durant laquelle il a vécu des prestations de l'aide sociale pèse ainsi défavorablement sur l'appréciation de ses facultés d'intégration. Il apparaît en outre que la recourant n'a pas acquis en Suisse, dans le cadre de son travail, de qualifications ou de connaissances spécifiques qu'il ne pourrait pas mettre à profit dans son pays d'origine. Il n'a enfin pas réalisé en Suisse d'ascension professionnelle particulière qui aurait renforcé son intégration.</w:t>
      </w:r>
    </w:p>
    <w:p>
      <w:r>
        <w:rPr>
          <w:b/>
        </w:rPr>
        <w:t>E. 6.3</w:t>
      </w:r>
    </w:p>
    <w:p>
      <w:r>
        <w:t>Sur un autre plan, il convient de rappeler que le recourant a passé en Turquie toute son enfance, son adolescence et ses premières années de la vie d'adulte, années qui apparaissent comme essentielles pour la formation de la personnalité et, partant, pour l'intégration socioculturelle (cf. ATF 123 II 125 consid. 5b/aa). Dans ces conditions, le Tribunal ne saurait considérer que le séjour de l'intéressé sur le territoire suisse l'ait rendu totalement étranger à sa patrie, où il a vécu jusqu'à l'âge de 27 ans. Il n'est en effet pas concevable que ce pays, où il a passé la majeure partie de son existence, lui soit devenu à ce point étranger qu'il ne serait plus en mesure, après une période de réadaptation, d'y retrouver ses repères. Même si l'on peut parfaitement concevoir, dans une certaine mesure, que l'intéressé a perdu une partie de ses racines en ce pays depuis son arrivée en Suisse en 2004, force est néanmoins de constater qu'un retour dans sa patrie ne le placerait pas dans une situation exceptionnelle où l'application des règles normales de police des étrangers l'exposerait à un traitement particulièrement sévère. Le retour de A._______ en Turquie ne sera certes pas exempt de difficultés. Il convient toutefois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p. 583 et jurisprudence citée),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w:t>
      </w:r>
    </w:p>
    <w:p>
      <w:r>
        <w:rPr>
          <w:b/>
        </w:rPr>
        <w:t>E. 6.4</w:t>
      </w:r>
    </w:p>
    <w:p>
      <w:r>
        <w:t>S'agissant de l'argument tiré de la présence en Suisse de membres de la famille du recourant, le Tribunal relève que l'intéressé est âgé de 33 ans et qu'il est donc parfaitement en mesure de se prendre lui-même en charge dans son pays, nonobstant les attaches familiales dont il dispose en Suisse. Cet élément n'a donc qu'une faible incidence sur l'appréciation de sa situation personnelle. Quant aux allégués relatifs aux craintes du recourant de retourner en Turquie pour des motifs liés à son refus d'accomplir son service militaire et aux activités politiques qu'il aurait déployées en Suisse, cette question n'a pas à être examinée en la présente cause, dès lors que l'objet du présent litige est limité à la seule question de l'approbation d'une autorisation de séjour en application de l'art. 14 al. 2 LAsi. Ces arguments ont au demeurant déjà été examinés par le Tribunal dans l'arrêt qu'il a rendu le 21 septembre 2009 sur le recours que A._______ avait déposé contre la décision de refus d'asile et de renvoi de l'ODM. Aussi, sur ce point, y a-t-il lieu de renvoyer le prénommé aux considérants pertinents de l'arrêt précité.</w:t>
      </w:r>
    </w:p>
    <w:p>
      <w:r>
        <w:rPr>
          <w:b/>
        </w:rPr>
        <w:t>E. 6.5</w:t>
      </w:r>
    </w:p>
    <w:p>
      <w:r>
        <w:t>En conséquence, l'examen de l'ensemble des éléments de la présente cause amène le Tribunal à la conclusion que A._______ ne peut se prévaloir d'un niveau d'intégration particulièrement poussé, de sorte qu'il ne se trouve pas dans un cas individuel d'une extrême gravité au sens des art. 14 al. 2 LAsi et 31 OASA.</w:t>
      </w:r>
    </w:p>
    <w:p>
      <w:r>
        <w:rPr>
          <w:b/>
        </w:rPr>
        <w:t>E. 7</w:t>
      </w:r>
    </w:p>
    <w:p>
      <w:r>
        <w:t>Il ressort de ce qui précède que, par sa décision du 11 mars 2010, l'ODM n'a ni violé le droit fédéral, ni constaté des faits pertinents de manière inexacte ou incomplète; en outre, la décision attaquée n'est pas inopportune (cf. art. 49 PA). En conséquence, le recours doit être rejeté. 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