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C-2399/2006 vom 6. Oktober 2009</w:t>
      </w:r>
    </w:p>
    <w:p>
      <w:r>
        <w:t>Bundesverwaltungsgericht, 2009-10-06, DE</w:t>
      </w:r>
    </w:p>
    <w:p>
      <w:r>
        <w:rPr>
          <w:b/>
        </w:rPr>
        <w:t xml:space="preserve">Quelle: </w:t>
      </w:r>
      <w:r>
        <w:t>https://mcp.opencaselaw.ch/entscheid/bvger_C-2399_2006</w:t>
      </w:r>
    </w:p>
    <w:p>
      <w:r>
        <w:t>FR: TAF C-2399/2006 du 6 octobre 2009</w:t>
      </w:r>
    </w:p>
    <w:p>
      <w:r>
        <w:t>IT: TAF C-2399/2006 del 6 ottobre 2009</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beruflichen Alters-, Hinterlassenen- und Invalidenvorsorge (BVG, SR 831.40), dies in Verbindung mit Art. 33 lit. i VGG. Eine Ausnahme im Sinne von Art. 32 VGG liegt in casu nicht vor.</w:t>
      </w:r>
    </w:p>
    <w:p>
      <w:r>
        <w:rPr>
          <w:b/>
        </w:rPr>
        <w:t>E. 2</w:t>
      </w:r>
    </w:p>
    <w:p>
      <w:r>
        <w:t>Anfechtungsgegenstand des vorliegenden Verfahrens ist der Verwaltungsakt vom 23. Februar 2006 des Bundesamtes für Sozialversicherungen, welcher eine Verfügung im Sinne von Art. 5 Abs. 1 VwVG darstellt. Die Beschwerdeführer haben frist- und formgerecht (Art. 50 und 52 VwVG) Beschwerde erhoben.</w:t>
      </w:r>
    </w:p>
    <w:p>
      <w:r>
        <w:rPr>
          <w:b/>
        </w:rPr>
        <w:t>E. 3.1</w:t>
      </w:r>
    </w:p>
    <w:p>
      <w:r>
        <w:t>Die Liste der in der Beschwerde aufgeführten Beschwerdeführer umfasst 48 Namen. In Tat und Wahrheit sind es 47 verschiedene Beschwerdeführer, zumal die D._______ AG in Biel zweimal aufgeführt ist, nämlich unter der Nr. 6 und der Nr. 42.</w:t>
      </w:r>
    </w:p>
    <w:p>
      <w:r>
        <w:rPr>
          <w:b/>
        </w:rPr>
        <w:t>E. 3.2</w:t>
      </w:r>
    </w:p>
    <w:p>
      <w:r>
        <w:t>Die Beschwerdegegnerin bestreitet die Beschwerdelegitimation einerseits der X._______ Sammelstiftung BVG als neue Vorsorgeeinrichtung, welche über 3000 Destinatäre übernommen hat, die per 1. Januar 2002 bzw. per 1. Januar 2004 von der Beschwerdegegnerin zu ihr übergetreten sind, und andererseits von 42 Arbeitgeberfirmen, welche ihre Anschlussverträge mit der Beschwerdegegnerin per 31. Dezember 2001 bzw. per 31. Dezember 2003 aufgelöst und sich bei der X._______ Sammelstiftung BVG angeschlossen haben. Dabei macht die Beschwerdegegnerin geltend, dass aufgrund von alt Art. 23 Abs. 1 FZG i. V. m. Art. 1 Abs. 1 FZG nur den Versicherten im Freizügigkeitsfall ein Teilliquidationsanspruch in Form eines individuellen oder kollektiven Anspruchs auf freie Mittel zustehe. Eine allfällige Verfahrenslegitimation sage noch nichts aus über den materiellen Anspruch und den Beschwerdegrund gemäss Art. 49 VwVG. Es sei insbesondere kein Verteilungsplan genehmigt worden, womit sich der vorliegende Fall von anderen gerichtlich bereits beurteilten Fällen unterscheide. Demgegenüber stützen sich sowohl die Beschwerdeführer als auch die Vorinstanz auf die bundesgerichtliche Rechtsprechung, um die Beschwerdelegitimation der neuen Vorsorgeeinrichtung und der von der Beschwerdegegnerin ausgetretenen Arbeitgeberfirmen im Rahmen von Teilliquidationen zu bestätigen.</w:t>
      </w:r>
    </w:p>
    <w:p>
      <w:r>
        <w:rPr>
          <w:b/>
        </w:rPr>
        <w:t>E. 3.2.1</w:t>
      </w:r>
    </w:p>
    <w:p>
      <w:r>
        <w:t>Die vorliegend umstrittene Frage der Beschwerdelegitimation beurteilt sich nach Art. 48 VwVG. Danach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Diese Kriterien sollen die Popularbeschwerde ausschliessen und den Charakter des allgemeinen Beschwerderechts als Instrument des Individualrechtsschutzes unterstreichen. Der Beschwerdeführer muss einen praktischen Nutzen aus einer allfälligen Aufhebung oder Änderung des angefochtenen Entscheids ziehen, das heisst seine Situation muss durch den Ausgang des Verfahrens in relevanter Weise beeinflusst werden können (BGE 133 II 249 E. 1.3.1 mit Hinweisen).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Urteil des BGer 2C_658/2008 vom 18. März 2009 E. 2.1 mit Hinweisen).</w:t>
      </w:r>
    </w:p>
    <w:p>
      <w:r>
        <w:rPr>
          <w:b/>
        </w:rPr>
        <w:t>E. 3.2.2</w:t>
      </w:r>
    </w:p>
    <w:p>
      <w:r>
        <w:t>Im vorliegenden Fall widerspricht die Betrachtungsweise der Beschwerdegegnerin, welche die Beschwerdelegitimation im Zusammenhang mit Teilliquidationen nur den Destinatären zuerkennen will, allerdings der bundesgerichtlichen Rechtsprechung. So hat das Bundesgericht in seinem Grundsatzentscheid 2A.185/1997 vom 11. Februar 1998, E. 2c (SZS 2001 S. 374 ff. und Pra 1998 n° 70 S. 435), an dessen Rechtsprechung es weiterhin ausdrücklich festhält (vgl. Urteil 2A.14/2006 vom 4. Mai 2006, E. 2.1), unmissverständlich darauf hingewiesen, dass die übernehmende Vorsorgeeinrichtung gemäss Art. 48 VwVG legitimiert ist, eine Verfügung betreffend die Teilliquidation der abgebenden Vorsorgeeinrichtung anzufechten, zumal sie ein Interesse hat, die zu überführenden Mittel der übernommenen Versicherten zu kennen, da sie deren Ansprüche zu verwalten und eine ordnungsgemässe Buchführung vorzunehmen hat. Zudem kann die Höhe ihres Aktivvermögens für sie im Hinblick auf ihre Vermögensanlage und die Liquidität von Bedeutung sein. Die besondere Beziehungsnähe zum Streitgegenstand ist damit gegeben; dabei spielt es keine Rolle, ob die freien Mittel, welche überführt werden, den individuellen Konten oder kollektiv den Konten der neuen Vorsorgeeinrichtung gutgeschrieben werden. Im Lichte dieser Rechtsprechung ist nicht einzusehen, wieso diese besondere Beziehungsnähe der neuen Vorsorgeeinrichtung nur dann bestehen soll, wenn der Umfang der Verteilung freier Mittel im Rahmen eines erkannten Teilliquidationstatbestandes und eines aufgestellten Verteilungsplanes im Streite steht, und nicht auch, wenn das Vorhandensein freier Mittel selbst umstritten ist und die Aufsichtsbehörde den Tatbestand einer Teilliquidation verneint. Hinsichtlich des Interesses der übernehmenden Vorsorgeeinrichtung ändert dies nichts.</w:t>
      </w:r>
    </w:p>
    <w:p>
      <w:r>
        <w:rPr>
          <w:b/>
        </w:rPr>
        <w:t>E. 3.2.3</w:t>
      </w:r>
    </w:p>
    <w:p>
      <w:r>
        <w:t>Dasselbe gilt für die Arbeitgeberfirmen, die sich an die neue Vorsorgeeinrichtung angeschlossen haben und deren Arbeitnehmer die betroffenen Destinatäre sind. Als Arbeitgeber haben sie zwar nicht selber einen Anspruch auf Vorsorgeleistungen, wohl aber einen vertraglichen Anspruch darauf, dass die Vorsorgeeinrichtung die ihr obliegenden Vorsorgepflichten gegenüber den bei ihr versicherten Arbeitnehmern korrekt wahrnimmt, was auch die Abwicklung der Rechtsfolgen im Falle der Kündigung des Anschlussvertrages mitumfasst. Dazu gehört auch, dass allenfalls, sofern die entsprechenden Voraussetzungen erfüllt sind, eine Teilliquidation durchgeführt und die entsprechenden freien Mittel den Arbeitnehmern mitgegeben werden. Der Arbeitgeber kann ein schutzwürdiges Interesse einerseits als Vertragspartei des Anschlussvertrages und andererseits auch aus seiner Pflicht, dem Arbeitnehmer über dessen Forderungsrechte gegen die Vorsorgeeinrichtung Aufschluss zu erteilen (vgl. Art. 331 Abs. 4 OR), geltend machen (vgl. Urteil des BGer 2A.185/1997 vom 11. Februar 1998, E. 2d; vgl. auch Urteil des BGer 2A.160/2004 vom 9. Juni 2005).</w:t>
      </w:r>
    </w:p>
    <w:p>
      <w:r>
        <w:rPr>
          <w:b/>
        </w:rPr>
        <w:t>E. 3.3</w:t>
      </w:r>
    </w:p>
    <w:p>
      <w:r>
        <w:t>Aufgrund dieser Erwägungen ist die Beschwerdelegitimation aller 47 Beschwerdeführer im vorliegenden Fall zu bejahen. Nachdem auch der vom Bundesverwaltungsgericht geforderte Kostenvorschuss fristgerecht geleistet wurde, ist damit auf das ergriffene Rechtsmittel einzutreten.</w:t>
      </w:r>
    </w:p>
    <w:p>
      <w:r>
        <w:rPr>
          <w:b/>
        </w:rPr>
        <w:t>E. 4.1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4.2</w:t>
      </w:r>
    </w:p>
    <w:p>
      <w:r>
        <w:t>Vorliegend beantragen die Beschwerdeführer nicht die Aufhebung der ganzen Verfügung, sondern nur der Dispositivziffer 1, wonach der Tatbestand der Teilliquidation der Beschwerdegegnerin nicht erfüllt sei und die Mittel des Teuerungsfonds bei ihr zu verbleiben hätten, und der Dispositivziffer 3, womit die Vorinstanz das Gesuch der Beschwerdeführer um vorsorgliche Massnahmen abwies. Diese zwei im Streite liegenden Punkte bilden den Streitgegenstand und es ist somit nachfolgend einzig zu prüfen, ob die Vorinstanz zu Recht einerseits das Vorliegen des Tatbestands einer Teilliquidation verneint und andererseits das Gesuch um Erlass von vorsorglichen Massnahmen abgewiesen hat.</w:t>
      </w:r>
    </w:p>
    <w:p>
      <w:r>
        <w:rPr>
          <w:b/>
        </w:rPr>
        <w:t>E. 5.1</w:t>
      </w:r>
    </w:p>
    <w:p>
      <w:r>
        <w:t>Ausgangspunkt der angefochtenen Verfügung ist die Auflösung von Anschlussverträgen von Arbeitgeberfirmen mit der Beschwerdegegnerin im Zeitraum 2001 bis zum 31. Dezember 2003. Dieser Tatbestand fand vor dem Inkrafttreten der 1. BVG-Revision ihren Abschluss, so dass sich die Vorinstanz in ihrer Verfügung vom 23. Februar 2006 für die Beurteilung der Frage der Teilliquidation mangels Übergangsbestimmungen zu Recht auf Art. 23 FZG in der bis zum 31. Dezember 2004 geltenden Fassung abgestützt hat (vgl. Urteil des BVGer C-2483/2006 vom 12. August 2009, E. 4.3), deren Anwendung die Parteien denn auch zu Recht nicht bestreiten. Gemäss alt Art. 23 Abs. 4 FZG sind die Voraussetzungen für eine Teilliquidation vermutungsweise erfüllt, wenn unter anderem ein Arbeitgeber oder eine Arbeitgeberin den Anschlussvertrag mit einer Vorsorgeeinrichtung auflöst und diese Einrichtung nach der Auflösung weiterbesteht (Bst. c).</w:t>
      </w:r>
    </w:p>
    <w:p>
      <w:r>
        <w:rPr>
          <w:b/>
        </w:rPr>
        <w:t>E. 5.2</w:t>
      </w:r>
    </w:p>
    <w:p>
      <w:r>
        <w:t>Im vorliegenden Fall steht fest, dass infolge Strukturbereinigung und Neuausrichtung der Beschwerdegegnerin in den Jahren 2001 bis Ende 2003 eine stattliche Anzahl von Anschlussverträgen aufgelöst worden ist. Die gesetzliche Vermutung müsste somit eigentlich dazu führen, die Voraussetzungen für eine Teilliquidation, die gleichermassen für Sammelstiftungen gelten, als erfüllt zu betrachten (vgl. SVR 2001 BVG Nr. 6 E. 6).</w:t>
      </w:r>
    </w:p>
    <w:p>
      <w:r>
        <w:rPr>
          <w:b/>
        </w:rPr>
        <w:t>E. 5.2.1</w:t>
      </w:r>
    </w:p>
    <w:p>
      <w:r>
        <w:t>Die Vorinstanz bejaht den Tatbestand der Teilliquidation bei Auflösung von Anschlussverträgen mit einer Sammelstiftung jedoch ausnahmsweise dann nicht, wenn zum einen keine gemeinschaftlichen freien Mittel bzw. keine gemeinschaftlichen Rückstellungen oder Wertschwankungsreserven vorhanden sind und zum andern, bei Vorhandensein solcher gemeinschaftlicher Mittel, wenn diese nicht zu verteilen sind (vgl. auch Mitteilungen über die berufliche Vorsorge Nr. 100 Rz. 590).</w:t>
      </w:r>
    </w:p>
    <w:p>
      <w:r>
        <w:rPr>
          <w:b/>
        </w:rPr>
        <w:t>E. 5.2.2</w:t>
      </w:r>
    </w:p>
    <w:p>
      <w:r>
        <w:t>Vorliegend geht die Vorinstanz davon aus, dass ein solcher Ausnahmefall zu beurteilen sei. Die umstrittenen Mittel im Teuerungsfonds seien zwar als gemeinschaftlich zu qualifizieren; da der Teuerungsfonds jedoch ein urkundlich ausgeschiedenes Sondervermögen bilde und im Reglement klar festgehalten werde, dass bei Auflösung des Anschlussvertrages keine Mittel aus dem Teuerungsfonds mitgegeben würden, seien diese auch nicht zu verteilen. Die Beschwerdeführer könnten sich dabei nicht auf die Unklarheitsregel und die Ungewöhnlichkeitsregel berufen. Vielmehr seien die berechtigten Erwartungen der Verbliebenen höher zu bewerten als diejenigen der Ausgetretenen, was sich eben aus dem Willen des Stifters, der klaren reglementarischen Bestimmungen und den übrigen Umständen ergebe, womit der Tatbestand der Teilliquidation trotz Auflösung von Anschlussverträgen ausnahmsweise nicht erfüllt sei.</w:t>
      </w:r>
    </w:p>
    <w:p>
      <w:r>
        <w:rPr>
          <w:b/>
        </w:rPr>
        <w:t>E. 5.3</w:t>
      </w:r>
    </w:p>
    <w:p>
      <w:r>
        <w:t>In Zusammenhang mit der in Art. 23 Abs. 4 Bst. c FZG (in der bis zum 31. Dezember 2007 geltenden Fassung) festgelegten gesetzlichen Vermutung, welche derjenigen in Art. 53b Abs. 1 Bst. c BVG entspricht, hat jedoch das Bundesverwaltungsgericht in einem Entscheid vom 22. August 2008 (BVGE 2008/53) erwogen, dass diese bei der Auflösung eines Anschlussvertrages praktisch kaum umgestossen werden kann. Ist ein Anschlussvertrag aufgelöst worden, ist gemäss dem Gesetz ein Teilliquidationsverfahren zu eröffnen, und zwar auch bei Sammel- und Gemeinschaftsstiftungen, die von der Vorschrift von alt Art. 23 Abs. 4 FZG nicht auszunehmen sind. Bei der Beratung der weitgehend deckungsgleichen "Nachfolgebestimmung" Art. 53b Abs. 1 BVG betreffend die Voraussetzungen für eine Teilliquidation hat der Gesetzgeber im Übrigen die Sammel- und die Gemeinschaftsstiftungen in dieser Beziehung bewusst mit den anderen Vorsorgeeinrichtungen gleichgestellt (vgl. Berichterstatter Jean Studer, Amtliches Bulletin der Bundesversammlung 2002 S 1049, Sitzung vom 28. November 2002, 1. BVG-Revision). Grössere Sammel- und Gemeinschaftsstiftungen befinden sich denn auch sehr häufig in Teilliquidation, wobei die Berechnung der allfälligen Ansprüche des wegziehenden Vorsorgewerks bei Sammelstiftungen angesichts der getrennten Rechnungsführung leicht durchzuführen ist (Hans-Ulrich Stauffer, Berufliche Vorsorge, Zürich 2005, N. 1151, S. 430 f.). Ob der Zweck einer Sammelstiftung nur darin bestehen kann, Teilliquidationen beim Ausscheiden eines angeschlossenen Arbeitgebers zu vermeiden, wie die Beschwerdegegnerin behauptet (vgl. Duplik S. 6), ist hier nicht von Bedeutung. Jedenfalls kann ein Stiftungsreglement das Gesetz weder eingrenzen noch umstossen (BVGE 2008/53 E. 4.2 mit Hinweisen). Ob eine Teilliquidation allerdings in jedem Einzelfall effektiv auch durchzuführen oder das Verfahren mangels freier Mittel einzustellen ist, ist erst in einem weiteren Schritt zu ermitteln (BVGE 2008/53 E. 6.2.1). Damit ergibt sich, dass die Vorinstanz im vorliegenden Fall zu Unrecht den Tatbestand einer Teilliquidation an sich verneint hat. In diesem Punkt ist die angefochtene Verfügung aufzuheben.</w:t>
      </w:r>
    </w:p>
    <w:p>
      <w:r>
        <w:rPr>
          <w:b/>
        </w:rPr>
        <w:t>E. 6</w:t>
      </w:r>
    </w:p>
    <w:p>
      <w:r>
        <w:t>Der materielle Hauptstreitpunkt, der nun zu prüfen ist, ist die Frage des möglichen Vorhandenseins "versteckter" freier Mittel respektive von allfälligen Rückstellungen, die gegebenenfalls im Rahmen einer Teilliquidation zu verteilen sind. Während die Beschwerdeführer im Wesentlichen geltend machen, der von der Beschwerdegegnerin geäufnete Teuerungsfonds sei überdotiert und umfasse auch für den Teuerungsausgleich nicht mehr benötigte, zu verteilende Finanzmittel, weshalb die Interessen des Abgangbestands angemessen zu berücksichtigen seien, vertreten die Vorinstanz und die Beschwerdegegnerin die Ansicht, dass dieser Teuerungsfonds nicht zu verteilen sei, da er als urkundlich ausgeschiedenes Sondervermögen zweckgebunden sei. Es handle sich um gebundene Mittel, deren Umwandlung in freies Stiftungsvermögen gesetzeswidrig wäre. Zwar kann erst eine Teilliquidationsbilanz darüber konkret Aufschluss geben, ob überhaupt und wenn ja wieviele freie Mittel vorhanden sind. Zu prüfen ist dennoch, ob im vorliegenden Fall der zweckgebundene Teuerungsfonds und allfällige andere Rückstellungen der Beschwerdegegnerin per se rechtlich absolut unantastbar sind, unabhängig der von den Beschwerdeführern behaupteten Überdotierung, oder ob eine allfällige, über die Risikoversicherung massiv hinausgehende Dotierung im Lichte der nachfolgend darzulegenden gesetzlichen Grundlagen, der Lehre und Rechtsprechung sowie der Reglemente der Beschwerdegegnerin doch dazu führen könnte, überschüssige Mittel entsprechend dem jedenfalls zu beachtenden Gleichbehandlungsgebot zu verteilen.</w:t>
      </w:r>
    </w:p>
    <w:p>
      <w:r>
        <w:rPr>
          <w:b/>
        </w:rPr>
        <w:t>E. 6.1</w:t>
      </w:r>
    </w:p>
    <w:p>
      <w:r>
        <w:t>Der gesetzliche Ausgangspunkt für die Prüfung ist Art. 23 FZG (in der bis zum 31. Dezember 2007 geltenden Fassung), wonach bei einer Teil- oder Gesamtliquidation der Vorsorgeeinrichtung neben dem Anspruch auf die Austrittsleistung ein individueller oder ein kollektiver Anspruch auf freie Mittel besteht, welche aufgrund des Vermögens, das zu Veräusserungswerten einzusetzen ist, zu berechnen sind (Abs. 1 und 2). Diese Bestimmung stellte eine Kodifizierung der bisherigen bundesgerichtlichen Praxis dar, wonach eine Teilliquidation als erforderlich erachtet wurde, wenn wirtschaftliche Veränderungen beim Arbeitgeberbetrieb grössere Personalabgänge zur Folge hatten. Aus dem Rechtsgleichheitsgebot sowie aus dem Grundsatz von Treu und Glauben hatte das Bundesgericht nämlich bereits vor Inkrafttreten des FZG und dessen Art. 23 in diesen Fällen eine Verpflichtung der Vorsorgeeinrichtung abgeleitet, das Stiftungsvermögen aufzuteilen und das Personalvorsorgevermögen den bisherigen Destinatären mitzugeben, damit nicht wegen Personalfluktuationen einzelne Gruppen von Versicherten zulasten anderer profitieren. Aufgrund von Art. 23 FZG ist somit jede Personalvorsorgeeinrichtung zur Wahrung des Grundsatzes der Gleichbehandlung der Destinatärsgruppen verpflichtet (welcher im Übrigen nun in Art. 53d Abs. 1 BVG ausdrücklich festgehalten wird).</w:t>
      </w:r>
    </w:p>
    <w:p>
      <w:r>
        <w:rPr>
          <w:b/>
        </w:rPr>
        <w:t>E. 6.2</w:t>
      </w:r>
    </w:p>
    <w:p>
      <w:r>
        <w:t>In der jüngeren Rechtsprechung hat das Bundesgericht in diesem Zusammenhang klar festgehalten, dass dem sogenannten Fortbestandsinteresse der (teilweise) zu liquidierenden Vorsorgeeinrichtung, unter dessen Titel diese Reserven und Rückstellungen bilden kann, um die Vorsorge der verbleibenden Destinatäre im bisherigen Rahmen weiterzuführen, gegenüber den Gleichbehandlungsanliegen der Destinatäre des Abgangsbestandes kein Vorrang zukomme (BGE 131 II 514 E. 5). Dabei schliesst das Gleichbehandlungsgebot gemäss dieser Rechtsprechung aus, dass die Vorsorgeeinrichtung zugunsten des Fortbestands alle erdenklichen Reserven und Rückstellungen bildet, während sie dem Abgangsbestand neben der gesetzlichen oder reglementarischen Freizügigkeitsleistung bloss noch einen Teil des (gegebenenfalls verbleibenden) freien Stiftungsvermögen mitgibt. Ansonsten könnte nämlich auf diese Art und Weise ein grosser Teil des Vorsorgekapitals für den Fortbestand vereinnahmt werden, ungeachtet des Umstands, dass der Abgangsbestand möglicherweise nicht weniger als Ersterer zur Äufnung des Vermögens der Kasse beigetragen hat. Das Gleichbehandlungsgebot gewährt auch eine Beteiligung an den Reserven und Rückstellungen, soweit entsprechende anlage- und versicherungstechnische Risiken auf die neue Vorsorgeeinrichtung übertragen werden (BGE 131 II 514 E. 6.2.). Dasselbe gilt für Wertschwankungsreserven, welche an jene Aktiven gebunden sind, für die sie gebildet wurden, sodass sie nur (aber immerhin) mitzuübertragen sind, wenn das entsprechende Aktivum auf die neue Vorsorgeeinrichtung übertragen wird (BGE 131 II 525 E. 6).</w:t>
      </w:r>
    </w:p>
    <w:p>
      <w:r>
        <w:rPr>
          <w:b/>
        </w:rPr>
        <w:t>E. 6.3</w:t>
      </w:r>
    </w:p>
    <w:p>
      <w:r>
        <w:t>Neben der gesetzlichen Grundlage und der Rechtsprechung zur Thematik ist schliesslich die Doktrin insbesondere zum Gehalt und zur Auslegung von Stiftungsreglementen anzuführen. So hat etwa Thomas Geiser (in SZS 44/2000, S. 97 ff.) zu Recht festgehalten, dass im obligatorischen Bereich die Reglementsbestimmungen einer Stiftung nichtig sind, soweit sie gesetzlich vorgesehene Rechte der Destinatäre beschränken, jedoch allgemein in aller Regel nach den Grundsätzen der Vertragsauslegung zu interpretieren sind.</w:t>
      </w:r>
    </w:p>
    <w:p>
      <w:r>
        <w:rPr>
          <w:b/>
        </w:rPr>
        <w:t>E. 7.1</w:t>
      </w:r>
    </w:p>
    <w:p>
      <w:r>
        <w:t>Vorliegend sieht die Stiftungsurkunde der Beschwerdegegnerin nebst dem Gemeinschaftsvermögen und dem Vermögen der einzelnen, ihr angeschlossenen Vorsorgekassen auch ein Sondervermögen für die Anpassung der Langzeitrenten an die Teuerung (sog. Teuerungsfonds) vor, welches durch Sonderbeiträge der Arbeitnehmer und der Unternehmen sowie durch Erträge geäufnet wird (vgl. Art. 7 und 10 der Stiftungsurkunde, act. B 14/1). Im Zusammenhang mit dem Austritt von Unternehmen präzisiert Art. 82 Ziffer 4 des Vorsorgereglements der Beschwerdegegnerin, dass der Anspruch der versicherten Personen auf das unter der jeweiligen Anschlussvereinbarung geäufnete oder allenfalls eingebrachte Vermögen beschränkt ist und die neue registrierte Vorsorgeeinrichtung keinen Anspruch auf Übertragung der geleisteten Teuerungsprämien hat.</w:t>
      </w:r>
    </w:p>
    <w:p>
      <w:r>
        <w:rPr>
          <w:b/>
        </w:rPr>
        <w:t>E. 7.2.1</w:t>
      </w:r>
    </w:p>
    <w:p>
      <w:r>
        <w:t>Die Vorinstanz und die Beschwerdegegnerin legen Art. 82 Ziffer 4 des Vorsorgereglements so aus, dass beim Austritt eines Unternehmens nicht nur kein Anspruch auf Übertragung der - im Rahmen der Anschlussvereinbarung - geleisteten Teuerungsprämien besteht, sondern ganz generell auf Übertragung von allfälligen überschüssigen Mitteln aus dem - durch Sonderbeiträge der Arbeitnehmer und der Unternehmen sowie durch Erträge geäufneten - Sondervermögen, welches für die Anpassung der Langzeitrenten an die Teuerung vorgesehen ist. Wenn die Beschwerdegegnerin mit dem Begriff "Teuerungsprämien" den ganzen - auch mit anderen Mitteln geäufneten - Teuerungsfonds mitumfassen will, dann mag dies ihr Wille anlässlich der Redaktion des Vorsorgereglements gewesen sein, sofern ihr dies zu jenem Zeitpunkt überhaupt bewusst gewesen war. Einen Anhaltspunkt für diese Auslegung der Willenserklärung könnte der erste Satz der besagten Reglementsbestimmung geben, wonach der Anspruch der versicherten Personen auf das unter der jeweiligen Anschlussvereinbarung geäufnete oder allenfalls eingebrachte Vermögen beschränkt sei, und der Ausschluss des Anspruchs auf Teuerungsprämien mit dem Wort "insbesondere" eingeleitet wird.</w:t>
      </w:r>
    </w:p>
    <w:p>
      <w:r>
        <w:rPr>
          <w:b/>
        </w:rPr>
        <w:t>E. 7.2.2</w:t>
      </w:r>
    </w:p>
    <w:p>
      <w:r>
        <w:t>Demgegenüber ist den Beschwerdeführern beizupflichten, dass sich Art. 82 Ziffer 4 des Reglements mit guten Gründen auch anders auslegen lässt, nämlich dass sich der Ausschluss des Anspruchs von austretenden versicherten Personen allein auf die eingezahlten Teuerungsprämien beschränkt und nicht auf alle erdenklichen Finanzmittel, dank welchen der Teuerungsfonds (oder andere Reservefonds) geäufnet werden konnte, und welche - im Sinne von alt Art. 23 BVG sowie der Richtlinien des BSV vom 19. Oktober 1992 über die Prüfung der Auflösung von Anschlussverträgen (auf welche Art. 56 Ziffer 5 des Vorsorgereglements der Beschwerdegegnerin ausdrücklich verweist) - unter Umständen freie Mittel darstellen könnten. Jedenfalls ergibt sich aus dem hier anwendbaren Grundsatz von Treu und Glauben (vgl. Geiser a.a.O), dass der Adressat des Vorsorgereglements die Willenserklärung der Beschwerdegegnerin so verstehen durfte, dass die allfällige Mitgabe von Mitteln aus dem Teuerungsfonds, soweit es sich tatsächlich um freie Mittel handelt, nicht grundsätzlich ausgeschlossen ist. Die Beschwerdegegnerin hat sich im Übrigen zur Differenzierung zwischen Teuerungsprämien und anderen Mitteln im Teuerungsfonds nicht ausdrücklich geäussert.</w:t>
      </w:r>
    </w:p>
    <w:p>
      <w:r>
        <w:rPr>
          <w:b/>
        </w:rPr>
        <w:t>E. 7.3</w:t>
      </w:r>
    </w:p>
    <w:p>
      <w:r>
        <w:t>Zweck des Sondervermögens ist wie gesagt die Anpassung der Langzeitrenten an die Teuerung. Soweit die im Teuerungsfonds geäufneten Mittel zur Erfüllung dieses Zwecks effektiv benötigt werden - selbstverständlich inklusive einer genügenden Reservemarge angesichts des inhärenten, nicht leicht abzuschätzenden Risikos - ist dieses Vermögen nicht anzutasten. Es stellt sich aber im vorliegenden Fall die Frage, inwiefern Mittel aus diesem Fonds für andere Zwecke, etwa im Zusammenhang mit der in der Expertise der LCP Libera AG an mehreren Stellen (vgl. act. 11 BSV, Ziffer 2.3, 4.1, 4.2 und 5) erwähnten Finanzierung des BVG-Mindestumwandlungssatzes verwendet wurden oder werden sollen. Das von den Beschwerdeführern ins Recht gelegte Privatgutachten der Swisscanto vom 8. Januar 2007 (vgl. act. 30A/20) weist denn auch zu Recht auf diese Problematik hin. Angesichts des klar definierten Zwecks des Teuerungsfonds müssten die für die Anpassung der Langzeitrenten an die Teuerung (inklusive angemessene Reserve) nicht verwendeten Mittel jedenfalls von diesem Sondervermögen ausgeschieden werden und - gestützt auf die oben erwähnte Rechtsprechung zur Teilliquidation (BGE 131 II 514 E. 5 und 6.2) - unter dem Titel eines versicherungstechnischen Risikos, das die übernehmende Vorsorgeeinrichtung übernommen hat, oder gegebenenfalls als freie Mittel, der Letztgenannten übertragen werden. Es geht jedenfalls nicht an, den Teuerungsfonds für jedwelche, nachträglich definierte Rückstellungszwecke zu verwenden und die aus dem Gleichbehandlungsgebot abgeleiteten, allfälligen Ansprüche der von der neuen Vorsorgeeinrichtung übernommenen Destinatäre zu beschneiden.</w:t>
      </w:r>
    </w:p>
    <w:p>
      <w:r>
        <w:rPr>
          <w:b/>
        </w:rPr>
        <w:t>E. 7.4</w:t>
      </w:r>
    </w:p>
    <w:p>
      <w:r>
        <w:t>Aufgrund dieser Erwägungen kommt das Bundesverwaltungsgericht zum Schluss, dass im vorliegenden Fall ein Teilliquidationsverfahren zu eröffnen ist und die entsprechenden Bilanzen zu erstellen sind, um die allfälligen, auf die neue Vorsorgeeinrichtung zu übertragenden Anteile an Rückstellungen und an freien Mitteln insbesondere aus dem Teuerungsfonds zu ermitteln. Ergeben sich keine entsprechenden Mittel, wird konsequenterweise im Anschluss daran auch keine Teilliquidation durchzuführen sein.</w:t>
      </w:r>
    </w:p>
    <w:p>
      <w:r>
        <w:rPr>
          <w:b/>
        </w:rPr>
        <w:t>E. 8</w:t>
      </w:r>
    </w:p>
    <w:p>
      <w:r>
        <w:t>Bei diesem Ausgang des Verfahrens erübrigt es sich, den Beschwerdeführern die beantragte, umfassende Akteneinsicht zu gewähren, zumal zunächst die Teilliquidationsbilanzen zu erstellen sind. Dies führt zur Abweisung dieses Antrages.</w:t>
      </w:r>
    </w:p>
    <w:p>
      <w:r>
        <w:rPr>
          <w:b/>
        </w:rPr>
        <w:t>E. 9</w:t>
      </w:r>
    </w:p>
    <w:p>
      <w:r>
        <w:t>Was schliesslich den Antrag der Beschwerdeführer anbelangt, es sei Dispositivziffer 3 der angefochtenen Verfügung aufzuheben - womit die Vorinstanz das Gesuch um vorsorgliche Massnahmen zur Sicherung des Vermögenssubstrats abgewiesen hat -, ist darauf hinzuweisen, dass dieser Antrag, zumindest sinngemäss, mit der Replik zurückgezogen worden bzw. gegenstandslos geworden ist (vgl. act. 30, Ziffer 37 f.); die Beschwerdeführer führten nämlich dort aus, die Vorinstanz habe bereits mit Dispositivziffer 2 der angefochtenen Verfügung - womit die Beschwerdegegnerin angewiesen wurde, die Auflösung des Teuerungsfonds einzustellen - dem Antrag weitestgehend entsprochen. Eine Begründung für die auch nur teilweise Aufrechterhaltung dieses Antrags fehlt vollständig, womit der Antrag um vorsorgliche Massnahmen, soweit er überhaupt aufrechterhalten wurde und darauf einzutreten wäre, mangels nachgewiesenem Interesse abzuweisen ist.</w:t>
      </w:r>
    </w:p>
    <w:p>
      <w:r>
        <w:rPr>
          <w:b/>
        </w:rPr>
        <w:t>E. 10</w:t>
      </w:r>
    </w:p>
    <w:p>
      <w:r>
        <w:t>Gestützt auf diese Erwägungen ist die Beschwerde in dem Sinne gutzuheissen, als festgestellt wird, dass der Tatbestand der Teilliquidation der Beschwerdegegnerin erfüllt ist. Die Sache geht somit an die Vorinstanz zurück, damit sie die Beschwerdegegnerin anweise, ein Teilliquidationsverfahren einzuleiten (vgl. E. 7.4). Im Übrigen ist die Beschwerde abzuweisen, soweit darauf eingetreten wird (vgl. E. 8, 9).</w:t>
      </w:r>
    </w:p>
    <w:p>
      <w:r>
        <w:rPr>
          <w:b/>
        </w:rPr>
        <w:t>E. 11.1</w:t>
      </w:r>
    </w:p>
    <w:p>
      <w:r>
        <w:t>Dieser Ausgang des Verfahrens hat nach Art. 63 Abs. 1 VwVG zur Folge, dass die in den Hauptpunkten unterliegende Beschwerdegegnerin kostenpflichtig wird. Der unterliegenden Vorinstanz können demgegenüber keine Verfahrenskosten auferlegt werden (Art. 63 Abs. 2 VwVG). Nach dem Reglement vom 21. Februar 2008 über die Kosten und Entschädigungen vor dem Bundesverwaltungsgericht (VGKE, SR 173.320.2) werden die reduzierten Verfahrenskosten auf Fr. 4'000.-- festgelegt. Den Beschwerdeführern wird der geleistete Kostenvorschuss zurückerstattet.</w:t>
      </w:r>
    </w:p>
    <w:p>
      <w:r>
        <w:rPr>
          <w:b/>
        </w:rPr>
        <w:t>E. 11.2</w:t>
      </w:r>
    </w:p>
    <w:p>
      <w:r>
        <w:t>Die anwaltlich vertretenen Beschwerdeführer haben, dem Verfahrensausgang entsprechend, laut Art. 64 Abs. 1 VwVG in Verbindung mit Art. 7 VGKE Anspruch auf eine Parteientschädigung. Wird keine Kostennote eingereicht, setzt das Gericht die Entschädigung auf Grund der Akten fest Art. 14 Abs. 2 VGKE). Vorliegend erweist sich eine Parteientschädigung von Fr. 5'000.-- inkl. Mehrwertsteuer als angemessen. Gemäss Art. 64 Abs. 2 VwVG kann die Entschädigung der Vorinstanz auferlegt werden, soweit sie nicht einer unterliegenden Gegenpartei auferlegt werden kann. Vorliegend hat sich die Beschwerdegegnerin mit selbständigen Begehren am Verfahren beteiligt (vgl. Art. 64 Abs. 3 VwVG), so dass ihr die Parteientschädigung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