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C-2393/2006 vom 2. Juli 2009</w:t>
      </w:r>
    </w:p>
    <w:p>
      <w:r>
        <w:t>Bundesverwaltungsgericht, 2009-07-02, DE</w:t>
      </w:r>
    </w:p>
    <w:p>
      <w:r>
        <w:rPr>
          <w:b/>
        </w:rPr>
        <w:t xml:space="preserve">Quelle: </w:t>
      </w:r>
      <w:r>
        <w:t>https://mcp.opencaselaw.ch/entscheid/bvger_C-2393_2006</w:t>
      </w:r>
    </w:p>
    <w:p>
      <w:r>
        <w:t>FR: TAF C-2393/2006 du 2 juillet 2009</w:t>
      </w:r>
    </w:p>
    <w:p>
      <w:r>
        <w:t>IT: TAF C-2393/2006 del 2 luglio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12. Oktober 2005,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w:t>
      </w:r>
    </w:p>
    <w:p>
      <w:r>
        <w:rPr>
          <w:b/>
        </w:rPr>
        <w:t>E. 2.3</w:t>
      </w:r>
    </w:p>
    <w:p>
      <w:r>
        <w:t>Im vorliegenden Fall rügt die Beschwerdeführerin den von der Vorinstanz genehmigten Verteilungsplan der Beschwerdegegnerin. Der Verteilungsplan bezieht sich auf Destinatäre der Stiftung, welche wie die Beschwerdeführerin in der Zeit ab dem 1. Oktober 2001 aus dem Betrieb austraten. Die Beschwerdeführerin gehört nach den Darlegungen der Beschwerdegegnerin (vgl. Vernehmlassung vom 27. März 2006, act. B 12 S. 2), sowie der Vorinstanz (vgl. angefochtene Verfügung Sachverhalt Bst. C und D, act. B 3) zum Kreis dieser Destinatäre. Nach den weiteren Ausführungen der Vorinstanz (vgl. deren angefochtene Verfügung, Sachverhalt Bst. E und F) sei im Rahmen des vorinstanzlichen Genehmigungsverfahrens ein Informations- und Einspracheverfahren durchgeführt worden. Dabei seien über 120 schriftliche Einsprachen bei der Beschwerdegegnerin eingegangen, welche unter Mitwirkung der Vorinstanz behandelt worden seien. Es ist daher davon auszugehen, dass die Beschwerdeführerin am Verfahren vor der Vorinstanz teilgenommen hat, was im Übrigen auch nicht bestritten wird. Die Beschwerdeführerin ist durch den angefochtenen Genehmigungsentscheid der Aufsichtsbehörde im Sinne von Art. 48 VwVG besonders berührt und somit zur Beschwerde legitimiert.</w:t>
      </w:r>
    </w:p>
    <w:p>
      <w:r>
        <w:rPr>
          <w:b/>
        </w:rPr>
        <w:t>E. 2.4</w:t>
      </w:r>
    </w:p>
    <w:p>
      <w:r>
        <w:t>Die Beschwerdeführerin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 Isabelle Häner, Verwaltungsverfahren und Verwaltungsrechtspflege des Bundes, 2. Aufl., Zürich 1998, Rz 627).</w:t>
      </w:r>
    </w:p>
    <w:p>
      <w:r>
        <w:rPr>
          <w:b/>
        </w:rPr>
        <w:t>E. 4.1</w:t>
      </w:r>
    </w:p>
    <w:p>
      <w:r>
        <w:t>Gemäss Art. 62 BVG i. V. m. Art. 84 Abs. 2 des Schweizerischen Zivilgesetzbuches vom 10. Dezember 1907 (ZGB, SR 210) hat die Stiftungsaufsichtsbehörde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 Seit der 1. BVG-Revision, welche am 1. Januar 2005 in Kraft getreten ist, werden die Zuständigkeit der Aufsichtsbehörde und das Verfahren bei Teilliquidationen von Vorsorgeeinrichtungen in Artikel 53d BVG geregelt. Das BVG hält zu diesen neuen Bestimmungen keine Übergangsregelung bereit. Nach bundesgerichtlicher Rechtsprechung und Lehre ist deshalb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der Vorinstanz erging am 12. Oktober 2005 und somit nach dem Inkrafttreten der neuen Bestimmungen über die Teilliquidation. Demgegenüber hat sich diese bei der Beurteilung des Sachverhalts auf altes Recht gestützt, für das Verfahren auf das neue Recht, was von keiner Seite bestritten wurde. Allerdings ist für den Verfahrensausgang nicht von ausschlaggebender Bedeutung, ob altes oder neues Recht anzuwenden ist, weshalb die Fragen offen bleiben kann. Die Zuständigkeit der Aufsichtsbehörde, das Verfahren und den Verteilungsplan überprüfen und entscheiden zu lassen, ist auch im neuen Recht gemäss art. 53d Abs. 6 BVG gegeben, wenn die Versicherten und Rentenbeziehenden an diese gelangen, was vorliegend erfolgt ist (vgl. vorne E. 2.2). .</w:t>
      </w:r>
    </w:p>
    <w:p>
      <w:r>
        <w:rPr>
          <w:b/>
        </w:rPr>
        <w:t>E. 4.3</w:t>
      </w:r>
    </w:p>
    <w:p>
      <w:r>
        <w:t>Gemäss Art. 53b Abs. 1 BVG bzw. aArt. 23 Abs. 4 FZG sind die Voraussetzungen für eine Teilliquidation vermutungsweise erfüllt, wenn eine erhebliche Verminderung der Belegschaft erfolgt (Bst. a), eine Unternehmung restrukturiert wird (Bst. b), der Anschlussvertrag aufgelöst wird (Bst. c). Im vorliegenden Fall ist unbestritten und wird auch von der Vorinstanz zu Recht festgestellt, dass aufgrund einer erheblichen Verminderung der Belegschaft der Tatbestand der Teilliquidation gemäss Art. 53b Abs. 1 Bst. a BVG bzw. aArt. 23 Abs. 4 Bst. a FZG eingetreten ist. Unbestritten ist auch der vom Stiftungsrat der Beschwerdegegnerin festgelegte Stichtag der Teilliquidation per 31. Dezember 2003.</w:t>
      </w:r>
    </w:p>
    <w:p>
      <w:r>
        <w:rPr>
          <w:b/>
        </w:rPr>
        <w:t>E. 4.4</w:t>
      </w:r>
    </w:p>
    <w:p>
      <w:r>
        <w:t>Im Rahmen der Teilliquidation legt das paritätisch besetzte Organ gestützt auf eine kaufmännische und technische Bilanz mit Erläuterungen die freien Mittel und deren Verteilung in einem Verteilungsplan fest (Art. 53d Abs. 4 Bst. b und d BVG, Art. 27g Abs. 1bis BVV 2, bzw. nach altem Recht aArt. 23 Abs. 1 und 2 FZG, aArt. 9 FZV). Im Verteilungsplan sind primär der Umfang der zu verteilenden Mittel, der Kreis der begünstigten Personen und die Verteilkriterien zu regeln. Sodann ist auch die Frage nach der kollektiven oder individuellen Abgeltung des Anspruchs auf freie Mittel zu beantworten (im Einzelnen vgl. hinten E. 5.2).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4.5</w:t>
      </w:r>
    </w:p>
    <w:p>
      <w:r>
        <w:t>Die Beschwerdeführerin beanstandet die kollektive Zuteilung der freien Mittel, wovon sie betroffen ist. Es bestehe nämlich keine Garantie, dass der ihr zukommende Anteil an freien Mitteln in der neuen Vorsorgeeinrichtung auch tatsächlich für ihre eigene Vorsorge verwendet werde. In ihrem Fall verwende die Swiss Vorsorgestiftung für das Kabinenpersonal die zugeflossenen Mittel nach eigenem Ermessen zum Einkauf oder zur Bildung von Reserven, was dazu führe, dass einige Versicherte begünstigt, andere aber benachteiligt würden. Diesen Nachteil hätten Destinatäre, denen die freien Mittel individuell zugewiesen werden, nicht hinzunehmen. Denn bei diesen werde der ihnen zustehende Anteil an freien Mitteln unmittelbar zur Erhöhung ihres Sparguthabens und damit stets zugunsten der eigenen Vorsorge verwendet. Dieser Nachteil lasse sich auch nicht durch eine Vereinbarung zwischen beiden Vorsorgeeinrichtungen beheben, da die APK der neuen Vorsorgeeinrichtung nicht vorschreiben könne, wie sie die Mittel zu verwenden habe und letztere immer noch über einen grossen Spielraum für die Verwendung der erhaltenen Mittel verfüge. Daher könne es nicht der neuen Kasse überlassen werden, wie sie die freien Mittel verwende, vielmehr sei es Sache der APK, im Interesse der Versicherten zu handeln. Vielmehr hätte sie zur Wahrung des Gleichbehandlungsgrundsatzes vorgängig den kollektiv abzudeckenden Reservebedarf bei der neuen Kasse abklären und dieser den erforderlichen Teil der Mittel kollektiv überweisen sollen. Jedenfalls dürfe am Ende keine Ungleichbehandlung zu Lasten derjenigen Versicherten erfolgen, welche kollektiv zu einer anderen Pensionskasse wechselten.</w:t>
      </w:r>
    </w:p>
    <w:p>
      <w:r>
        <w:rPr>
          <w:b/>
        </w:rPr>
        <w:t>E. 5.1</w:t>
      </w:r>
    </w:p>
    <w:p>
      <w:r>
        <w:t>Gemäss dem unverändert gebliebenen Art. 23 Abs. 1 Satz 1 FZG besteht bei einer Teil- oder Gesamtliquidation der Vorsorgeeinrichtung neben dem Anspruch auf eine Austrittsleistung ein individueller oder ein kollektiver Anspruch auf freie Mittel. Gemäss neuem Recht hat der Bundesrat im Rahmen der von ihm zu bezeichnenden Grundsätze (Art. 53d Abs. 1 BVG) in Art. 27g Abs. 1 BVV 2, ausgehend von Art. 23 Abs. 1 Satz 1 FZG sowie der bisherigen Praxis (vgl. nachfolgend E. 5.2; Erläuterungen zu Art. 27g BVV 2 in Mitteilungen des Bundesamtes für Sozialversicherung über die berufliche Vorsorge 2004 Nr. 75 Rz 444), statuiert, dass bei einer Teil- oder Gesamtliquidation bei einem individuellen Austritt ein individueller Anspruch, bei einem kollektiven Austritt ein individueller oder kollektiver Anspruch auf einen Anteil der freien Mittel besteht.</w:t>
      </w:r>
    </w:p>
    <w:p>
      <w:r>
        <w:rPr>
          <w:b/>
        </w:rPr>
        <w:t>E. 5.2</w:t>
      </w:r>
    </w:p>
    <w:p>
      <w:r>
        <w:t>Nach ständiger Praxis, welche auch mit der neuen Regelung übernommen wurde (Hans Michael Riemer, Vorsorgeeinrichtungen, in SZS 49/2005, S. 67; HANS-ULRICH STAUFFER, Berufliche Vorsorge, Zürich 2005, S. 432, Rz. 1155) steht der Entscheid, ob Ansprüche individuell oder kollektiv abgegolten werden, im freien Ermessen des Stiftungsrates der abgebenden Vorsorgeeinrichtung (vgl. Isabelle Vetter-Schreiber, Berufliche Vorsorge, Kommentar, Zürich 2005, S. 191). Der Stiftungsrat hat hierbei die Grundsätze der Gleichbehandlung und von Treu und Glauben zu beachten (vgl. dazu Ruggli/Stohler, Umstrukturierung in der Wirtschaft und ihre Auswirkungen auf die berufliche Vorsorge, BJM 2000 S. 124ff.; Jacques-André Schneider, Fonds libres et liquidations de caisses de pension, SZS 2001 S. 471 ff.; Carl Helbling, Zum Verfahren der Teil- und Gesamtliquidation von Personalvorsorgeeinrichtungen, in: Hans Schmid [Hrsg.], Teilliquidationen von Vorsorgeeinrichtungen, Bern 2000, S. 81). In der bundesgerichtlichen Rechtsprechung gibt es bezüglich der Frage, ob der Anteil des Abgangsbestands an freien Mitteln individuell oder kollektiv auszurichten sei, keine gefestigte Praxis, und sie ist auch weder vom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 (BGE 131 II 533 E. 7.1).</w:t>
      </w:r>
    </w:p>
    <w:p>
      <w:r>
        <w:rPr>
          <w:b/>
        </w:rPr>
        <w:t>E. 5.3</w:t>
      </w:r>
    </w:p>
    <w:p>
      <w:r>
        <w:t>Im vorliegenden Fall hat die Beschwerdegegnerin beschlossen, die individuellen Anteile an den freien Mitteln beim kollektiven Übertritt in eine andere Vorsorgeeinrichtung kollektiv und bei einem individuellen Übertritt individuell zu übertragen (vgl. Bericht der Pensionsversicherungsexpertin Pendia Associates über die Teilliquidation per 31. Dezember 2003, S. 7 f. [act. 20/1]). Diesen Entscheid begründet sie dahingehend, dass als Folge des Zusammenbruchs der SAirGroup anfangs Oktober 2001 bis zum 31. Dezember 2003 praktisch alle Versicherten aus der APK ausgeschieden seien. Dabei seien verschiedene kleinere und grössere Gruppen von ausscheidenden Destinatären geschlossen in eine neue Vorsorgeeinrichtung übergetreten, dies nachdem sie auch als geschlossene Gruppe zu einem neuen Arbeitgeber gewechselt hätten. Daher sei für diese Gruppe von Versicherten eine kollektive Übertragung der freien Mittel eine sachgerechte Lösung. Dabei habe man auch auf die Lage der neuen Vorsorgeeinrichtung Rücksicht nehmen müssen: Während bei neu gegründeten Vorsorgeeinrichtungen zu ermöglichen gewesen sei, die erhaltenen Mittel direkt in die (fehlenden oder noch unzureichenden) Reserven einzubauen, um so entsprechende Leistungsverbesserungen zu gewähren, sei es bei bestehenden Vorsorgeeinrichtungen darum gegangen, den Destinatären zu ermöglichen, sich in bestehende Reserven einzukaufen, um auf diese Weise in den Genuss von Leistungsverbesserungen zu gelangen. Damit diese kollektiv übertragenen freien Mittel in der neuen Vorsorgeeinrichtung denn auch zugunsten des übergetretenen Kollektivs verwendet würden, habe der Stiftungsrat der Beschwerdegegnerin des Weiteren beschlossen, diese kollektive Übertragung der freien Mittel von der Unterzeichnung einer Vereinbarung abhängig zu machen. Nur wenn sich die neue Vorsorgeeinrichtung verpflichte, die kollektiv überwiesenen Mittel zugunsten des übertretenden Versichertenbestandes zu verwenden, erfolge eine kollektive Überweisung, ansonsten die Mittel individuell verteilt würden. Auch die von der Beschwerdegegnerin und der Vorinstanz gemeinsam zugezogenen Experten W._______ und C._______ halten eine kollektive Übertragung der freien Mittel unter diesen Bedingungen grundsätzlich für gerechtfertigt, wenn eine geschlossene Gruppe von Destinatären zum neuen Arbeitgeber übergetreten ist. Allerdings empfehlen sie der Beschwerdegegnerin, noch zu prüfen, ob die kollektiv übertragenen freien Mittel bei der neuen Vorsorgeeinrichtung tatsächlich für die Bildung von Reserven oder zum Einkauf in die freien Mittel verwendet werden können. Wenn nicht, werde die individuelle Zuteilung der Mittel empfohlen (vgl. Bericht vom 3. Juni 2005 zum Begutachtungsauftrag Teilliquidation APK, S. 8 und 18 Ziff. 4 Empfehlung 4).</w:t>
      </w:r>
    </w:p>
    <w:p>
      <w:r>
        <w:rPr>
          <w:b/>
        </w:rPr>
        <w:t>E. 5.4</w:t>
      </w:r>
    </w:p>
    <w:p>
      <w:r>
        <w:t>Bei der kollektiven Übertragung der Mittel ist wesentlich, dass diese in der neuen Vorsorgeeinrichtung den übertretenden Destinatären als Kollektiv zugute kommen und nicht andere Destinatäre der aufnehmenden Vorsorgeeinrichtung zu ihren Ungunsten besser gestellt werden. Dies kann durch Übernahmeverträge geregelt werden (vgl. Urteil des Bundesgerichts 2A.735/2005 vom 19. Juni 2006 E. 3.4 mit Hinweisen). Im vorliegenden Fall hat dies die Beschwerdegegnerin mit der genannten Vereinbarung sichergestellt, worauf nachfolgend in E. 6 im Einzelnen eingegangen wird. Unbegründet ist deshalb der Einwand der Beschwerdeführerin, sie würde von der Zuteilung der freien Mittel insofern nicht profitieren, als sie nicht zur Verbesserung der eigenen Vorsorge verwendet würden. Daran ändert auch nichts, dass die Verwendung der Mittel und damit die Umsetzung der Vereinbarung im Verantwortungsbereich der neuen Vorsorgeeinrichtung liegt und von der Aufsichtsbehörde am Sitz der übernehmenden Vorsorgeeinrichtung überwacht wird (vgl. Urteil des Bundesgerichts 2A.735/2005 vom 19. Juni 2006 a.a.O.). Unter diesen Umständen ist der getroffene Entscheid sachgerecht und daher nicht zu beanstanden. Deshalb kann auch nicht von einer Ungleichbehandlung gegenüber den Destinatären gesprochen werden, welche individuell in eine neue Vorsorgeeinrichtung übertreten, besteht doch in diesen - vorliegend in der Minderheit sich befindlichen - Fällen, in denen kein gruppenweiser Übertritt erfolgt, ohnehin ein individueller Anspruch auf einen Anteil der freien Mittel (nunmehr ausdrücklich geregelt in Art. 27g Abs. 1 BVV 2). Fehl geht schliesslich auch der Einwand, die Zuweisung der Anteile an freien Mitteln könne nicht gegen den Willen der Beschwerdeführerin vorgenommen werden, hängt doch weder nach altem noch nach neuem Recht die Art der Zuteilung der freien Mitteln von der individuellen Zustimmung des betroffenen Destinatärs ab.</w:t>
      </w:r>
    </w:p>
    <w:p>
      <w:r>
        <w:rPr>
          <w:b/>
        </w:rPr>
        <w:t>E. 6.1</w:t>
      </w:r>
    </w:p>
    <w:p>
      <w:r>
        <w:t>Die Beschwerdegegnerin hat die kollektive Übertragung der freien Mittel an eine neue Vorsorgeeinrichtung, wie erwähnt, an eine Auflage geknüpft. Dies ist im Gesetz zwar nicht vorgesehen, aber auch nicht verboten.</w:t>
      </w:r>
    </w:p>
    <w:p>
      <w:r>
        <w:rPr>
          <w:b/>
        </w:rPr>
        <w:t>E. 6.2</w:t>
      </w:r>
    </w:p>
    <w:p>
      <w:r>
        <w:t>Gemäss der Vereinbarung über die kollektive Übertragung der freien Mittel per 31. Dezember 2003 zwischen der APK und der übernehmenden Vorsorgeeinrichtung (act. 20/6), in casu die Swiss Vorsorgestiftung für das Kabinenpersonal, verpflichtet sich letztere, die individuellen Freizügigkeitsleistungen für den von der Beschwerdegegnerin übergetretenen Versichertenbestand zu verwenden und dadurch die wohlerworbenen Rechte dieser Versichertengruppe zu wahren (Ziff. 4). Des Weiteren verpflichtet sich die übernehmende Stiftung, den individuellen Anteil an den freien Mitteln vollständig an die versicherte Person weiterzuleiten, sofern diese Person die übernehmende Stiftung bis zum 30. Juni 2005 wieder verlassen oder bis zu diesem Zeitpunkt einen vollständigen Kapitalbezug bei der Pensionierung gemacht hat (Ziff. 5). Falls diese Vereinbarung bis zur Rechtskraftbescheinigung der Teilliquidation nicht unterzeichnet wird, werden die freien Mittel individuell verteilt (Ziff. 6). Auf letztere Bedingung hat die Beschwerdegegnerin in ihrem Begleitschreiben vom 28. Oktober 2005 (act. 20/6) nochmals explizit darauf hingewiesen. Den Akten ist indes zu entnehmen, dass diese Vereinbarung einzig von der Beschwerdegegnerin, nicht aber auch von der übernehmenden Stiftung unterzeichnet worden ist (act. 20/6). Eine Begründung dafür ist in den Akten nicht auszumachen. Auch die Vorinstanz äussert sich diesbezüglich nicht. Es finden sich einzig Hinweise darauf, dass eine individuelle Verteilung stattfinde, wenn die Vereinbarung nicht unterzeichnet werde (vgl. act. B 27), und die kollektive Überweisung der freien Mittel nur mit dieser Absicherung der neuen Vorsorgeeinrichtung erfolge (act. B 15). Zwar weist die Beschwerdegegnerin in ihrer Stellungnahme vom 27. März 2006 (act. B 12 S. 4) darauf hin, dass die Swiss Vorsorgestiftung für das Kabinenpersonal die besagte Vereinbarung unterzeichnet habe. Einen Nachweis dafür ist sie indes schuldig geblieben, dies obwohl das Gericht die Vereinbarungen im Rahmen der nachträglich angeordneten Aktenedition bei der Vorinstanz (vgl. Verfügung vom 19. Juni 2008 Ziff. 1.6) explizit einverlangt hat und der Beschwerdegegnerin anschliessend (vgl. Verfügung vom 11. August 2008) Gelegenheit zu Schlussbemerkungen gegeben wurde. Es ist auch nicht ersichtlich, ob die Beschwerdegegnerin die genannte Expertenempfehlung befolgt hat (vgl. vorne E. 5.3). Deshalb steht unter diesen Umständen aufgrund der heutigen Aktenlage auch nicht fest, in welcher Form die Übertragung der freien Mittel verbindlich zu erfolgen habe. Insbesondere ist somit eine individuelle Übertragung im Sinne des Rechtsbegehrens der Beschwerdeführerin nicht ausgeschlossen.</w:t>
      </w:r>
    </w:p>
    <w:p>
      <w:r>
        <w:rPr>
          <w:b/>
        </w:rPr>
        <w:t>E. 6.3</w:t>
      </w:r>
    </w:p>
    <w:p>
      <w:r>
        <w:t>Die Vorinstanz hat bei der Genehmigung des Verteilungsplanes die besagte Auflage zur Kenntnis genommen und nicht weiter geprüft, ob die Vereinbarung auch rechtswirksam abgeschlossen wurde. Da es sich aber bei der Frage, ob die übernehmende Vorsorgeeinrichtung der Vereinbarung zugestimmt hat, was zwingende Voraussetzung für die kollektive Übertragung der freien Mittel ist (vgl. E. 6.2), nicht um die Überprüfung der Umsetzung der Übernahmevereinbarung in der übernehmenden Vorsorgeeinrichtung handelt, sondern vielmehr um eine Frage des Verteilungsplanes, für welchen die abgebende Vorsorgeeinrichtung verantwortlich ist, war die Vorinstanz, welche für die Einhaltung des Gleichbehandlungsgrundsatzes hätte besorgt sein müssen, zur besagten Prüfung verpflichtet (zur Prüfungszuständigkeit vgl. Urteil des Bundesgerichts 2A.735/2005 vom 19. Juni 2006, a.a.O.).</w:t>
      </w:r>
    </w:p>
    <w:p>
      <w:r>
        <w:rPr>
          <w:b/>
        </w:rPr>
        <w:t>E. 6.4</w:t>
      </w:r>
    </w:p>
    <w:p>
      <w:r>
        <w:t>Die Beschwerdegegnerin hat der Swiss Vorsorgeeinrichtung die erwähnte Vereinbarung erst im Zeitpunkt, nachdem die angefochtene Verfügung erlassen wurde, zur Unterschrift zugestellt, was im Begleitschreiben vom 28. Oktober 2005 (act. 48/6) ausdrücklich festgehalten wird. Daher stand beim Erlass der angefochtenen Verfügung nicht zweifelsfrei fest, in welcher Form die freien Mittel schliesslich an die neue Vorsorgeeinrichtung zu übertragen waren. Entsprechende Vorbehalte haben auch, wie erwähnt, die Experten W._______ und C._______ angebracht, deren Bericht in diesem Zeitpunkt der Vorinstanz vorlag. Zudem war diese Frage auch Gegenstand von Einsprachen von Destinatären, über welche die Vorinstanz im Rahmen des durchgeführten Informations- und Einspracheverfahrens mit der angefochtenen Verfügung zu entscheiden hatte (vgl. vorne E. 2.2, Bericht zum Begutachtungsauftrag Teilliquidationen APK, a.a.O. S. 3, sowie angefochtene Verfügung Sachverhalt D - F). Unter diesen Umständen hätte die Vorinstanz ihren Entscheid über die Genehmigung des Verteilungsplans aussetzen sollen, bis Gewissheit über diese offene Frage bestand.</w:t>
      </w:r>
    </w:p>
    <w:p>
      <w:r>
        <w:rPr>
          <w:b/>
        </w:rPr>
        <w:t>E. 6.5</w:t>
      </w:r>
    </w:p>
    <w:p>
      <w:r>
        <w:t>Da aber im Rahmen des vorliegenden Verfahrens der Sachverhalt im Zeitpunkt des Beschwerdeentscheids massgebend ist, und auch Tatsachen zu berücksichtigen sind, die sich nach dem Entscheid der Vorinstanz zugetragen haben (vgl. ALFRED KÖLZ/ISABELLE HÄNER, Verwaltungsverfahren und Verwaltungsrechtspflege des Bundes, 2. Aufl., Zürich 1998, S. 225 Rz. 632 mit Hinweisen), ist die genannte Vereinbarung mitsamt der damit verbundenen Auflage zu berücksichtigen. Allerdings ist es in Anbetracht des Aktenstandes nicht Sache des Bundesverwaltungsgerichts festzustellen, in welcher Weise die freien Mittel nun verbindlich zu übertragen sind. Diese Frage obliegt vielmehr der Vorinstanz als Aufsichtsbehörde, welche über die rechtskonforme Durchführung der Teilliquidation zu wachen hat.</w:t>
      </w:r>
    </w:p>
    <w:p>
      <w:r>
        <w:rPr>
          <w:b/>
        </w:rPr>
        <w:t>E. 6.6</w:t>
      </w:r>
    </w:p>
    <w:p>
      <w:r>
        <w:t>Dies führt dazu, dass die Beschwerde insofern gutzuheissen ist, als die Sache in Aufhebung der angefochtenen Verfügung an die Vorinstanz zurückzuweisen ist. Diese hat zu prüfen, ob die freien Mittel für Destinatäre, welche kollektiv in eine neue Vorsorgeeinrichtung übergetreten sind, nach Massgabe der entsprechenden Vereinbarung zwischen der Beschwerdegegnerin und der betreffenden übernehmenden Vorsorgeeinrichtung - hier die Swiss Vorsorgeeinrichtung für das Kabinenpersonal - kollektiv oder individuell zu übertragen sind. Gegebenenfalls ist der Verteilungsplan anzupassen, wofür sie die Beschwerdegegnerin entsprechend anzuweisen hat.</w:t>
      </w:r>
    </w:p>
    <w:p>
      <w:r>
        <w:rPr>
          <w:b/>
        </w:rPr>
        <w:t>E. 7.1</w:t>
      </w:r>
    </w:p>
    <w:p>
      <w:r>
        <w:t>Dieser Verfahrensausgang entspricht einem teilweisen Obsiegen der Beschwerdeführerin. Gemäss Art. 63 Abs. 1 VwVG werden die Verfahrenskosten in der Regel der unterliegenden Partei auferlegt. Abs. 2 Satz 1 dieser Bestimmung sieht allerdings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1'800.- festgelegt werden, je zur Hälfte, d.h. mit je Fr. 900.- der Beschwerdeführerin und der Beschwerdegegnerin aufzuerlegen. Diese werden der Beschwerdeführerin mit dem von ihr geleisteten Kostenvorschuss von Fr. 1'800.- verrechnet; der Restbetrag von Fr. 900.- ist ihr zurückzuerstatten.</w:t>
      </w:r>
    </w:p>
    <w:p>
      <w:r>
        <w:rPr>
          <w:b/>
        </w:rPr>
        <w:t>E. 7.2</w:t>
      </w:r>
    </w:p>
    <w:p>
      <w:r>
        <w:t>Gemäss Art. 64 Abs. 1 VwVG kann die Beschwerdeinstanz der ganz oder teilweise obsiegenden Partei von Amtes wegen oder auf Begehren eine Entschädigung für erwachsene notwendige und verhältnismässig hohe Kosten zusprechen. Der teilweise obsiegenden Beschwerdeführerin wird zulasten der Beschwerdegegnerin nach Ermessen eine auf Fr. 1'500.- (einschliesslich Mehrwertsteuer) festgesetzte Parteientschädigung zugesprochen.</w:t>
      </w:r>
    </w:p>
    <w:p>
      <w:r>
        <w:rPr>
          <w:b/>
        </w:rPr>
        <w:t>E. 7.3</w:t>
      </w:r>
    </w:p>
    <w:p>
      <w:r>
        <w:t>Die teilweise obsiegende Beschwerdegegnerin führt die obligatorische Versicherung durch. Gemäss der Rechtsprechung, wonach Träger oder Versicherer der beruflichen Vorsorge gemäss BVG grundsätzlich keinen Anspruch auf Parteientschädigung haben (BGE 126 V 149 E. 4), ist ihr keine Parteientschädigung zuzusprechen.</w:t>
      </w:r>
    </w:p>
    <w:p>
      <w:r>
        <w:rPr>
          <w:b/>
        </w:rPr>
        <w:t>E. 7.4</w:t>
      </w:r>
    </w:p>
    <w:p>
      <w:r>
        <w:t>Der teilweise obsiegenden Vorinstanz steht als Behörde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