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C-2392/2013 vom 26. März 2014</w:t>
      </w:r>
    </w:p>
    <w:p>
      <w:r>
        <w:t>Bundesverwaltungsgericht, 2014-03-26, FR</w:t>
      </w:r>
    </w:p>
    <w:p>
      <w:r>
        <w:rPr>
          <w:b/>
        </w:rPr>
        <w:t xml:space="preserve">Quelle: </w:t>
      </w:r>
      <w:r>
        <w:t>https://mcp.opencaselaw.ch/entscheid/bvger_C-2392_2013</w:t>
      </w:r>
    </w:p>
    <w:p>
      <w:r>
        <w:t>FR: TAF C-2392/2013 du 26 mars 2014</w:t>
      </w:r>
    </w:p>
    <w:p>
      <w:r>
        <w:t>IT: TAF C-2392/2013 del 26 marzo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Tribunal administratif fédéral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2009/27 consid. 3 et jurispr. cit.).</w:t>
      </w:r>
    </w:p>
    <w:p>
      <w:r>
        <w:rPr>
          <w:b/>
        </w:rPr>
        <w:t>E. 4.1</w:t>
      </w:r>
    </w:p>
    <w:p>
      <w:r>
        <w:t>S'agissant des conditions d'entrée en Suisse pour un séjour n'excédant pas nonante jours, la législation européenne, reprise par la Suisse dans le cadre des accords d'association à Schengen, s'applique (cf. art. 2 al. 4 de la loi fédérale du 16 décembre 2005 sur les étrangers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4.2</w:t>
      </w:r>
    </w:p>
    <w:p>
      <w:r>
        <w:t>En tant que ressortissante camerounaise, C._______ est soumise à l'obligation du visa selon l'art. 1 par. 1 et l'annexe I du règlement précité.</w:t>
      </w:r>
    </w:p>
    <w:p>
      <w:r>
        <w:rPr>
          <w:b/>
        </w:rPr>
        <w:t>E. 4.3</w:t>
      </w:r>
    </w:p>
    <w:p>
      <w:r>
        <w:t>Les requérants de visa doivent justifier l'objet et les conditions du séjour envisagé, et disposer des moyens de subsistance suffisants (art. 5 al. 1 let. c du règlement (CE) n° 562/2006 du Parlement européen et du Conseil du 15 mars 2006 établissant un code communautaire relatif au régime de franchissement des frontières pour les personnes [codes frontières Schengen, JO L 105 du 13 avril 2006, p. 1-32]).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4.4</w:t>
      </w:r>
    </w:p>
    <w:p>
      <w:r>
        <w:t>Les conditions posées par le droit européen correspondent, pour l'essentiel, aux conditions posées par l'art 5 LEtr. Aussi la pratique et la jurisprudence relatives à cet article, notamment celles concernant la garantie de sortie prévue par l'art. 5 al. 2 LEtr, peuvent-elles être reprises in casu (ATAF 2009/27 consid. 5.2 et 5.3).</w:t>
      </w:r>
    </w:p>
    <w:p>
      <w:r>
        <w:rPr>
          <w:b/>
        </w:rPr>
        <w:t>E. 5</w:t>
      </w:r>
    </w:p>
    <w:p>
      <w:r>
        <w:t>Dans la décision querellée, l'ODM a refusé d'autoriser l'entrée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Tribunal administratif fédéral C-5114/2011 du 24 août 2012 consid. 6).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au Cameroun sur le plan social et économique. A ce sujet, il faut prendre en considération la qualité de vie et les conditions économiques et sociales difficiles que connaît l'ensemble de la population du Cameroun, pays dont le produit intérieur brut (PIB) par habitant s'élevait en 2013 à environ 1'270 US $ (source: site du fond monétaire international &lt;www.imf.org&gt; Data and Statistics &gt; World Economic Outlook Databases &gt; World Economic Outlook Databases October 2013 &gt; By countries (country-level data) &gt; All countries &gt; Cameroon, consulté en mars 2014). Si le pays a certes renoué avec la croissance, il convient également de relever que 39% de la population vit encore sous le seuil de pauvreté (source: &lt;www.auswaertiges-amt.de&gt; Reise und Sicherheit &gt; Reise- und Sicherheitshinweise: Länder A-Z &gt; Kamerun &gt; Wirtschaft, état: octobre 2012, consulté en mars 2014). En outre, l'indice de développement humain (IDH) 2012, qui prend en compte la santé, l'éducation et le niveau de vie, classe le Cameroun en 150ième position sur 187 pays (source: &lt;www.diplomatie.gouv.fr&gt; Dossiers pays &gt; Cameroun &gt; Présentation du Cameroun, consulté en mars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familial et social préexistant (parenté, amis),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l'intéressée plaide en faveur de sa sortie ponctuelle de Suisse, respectivement de l'Espace Schengen, au terme du séjour envisagé.</w:t>
      </w:r>
    </w:p>
    <w:p>
      <w:r>
        <w:rPr>
          <w:b/>
        </w:rPr>
        <w:t>E. 6.1</w:t>
      </w:r>
    </w:p>
    <w:p>
      <w:r>
        <w:t>Dans le cas particulier, il appert des pièces versées au dossier que l'intéressée vit dans la ville de Yaoundé au Cameroun avec son époux et ses trois enfants, dont deux sont encore mineurs. Sa mère résidant également au Cameroun, force est de constater que l'intéressée bénéficie d'attaches familiales importantes dans sa patrie. Elle joue un rôle majeur dans l'éducation de ses enfants et a choisi de visiter sa soeur en Suisse pendant les vacances scolaires afin de pouvoir assurer leur suivi à la reprise des classes (cf. les deux certificats de scolarisation produits et sa lettre du 1er mars 2013 à l'ODM). Elle assure vouloir une vie de famille épanouie avec son époux et ses enfants au Cameroun et déclare être très attachée à sa patrie, où elle a construit toute sa vie (cf. lettre précitée). Ce sont d'ailleurs généralement les recourants qui lui rendent visite. Ceux-ci soulignent ne pas avoir pu entreprendre le voyage suite à la naissance de leur fille (cf. mémoire de recours p. 2). En outre, sur le plan professionnel, l'intéressée exerce à Yaoundé un travail en tant qu'agent contractuelle d'administration au ministère des finances, section impôts, avec un contrat à durée indéterminée et exploite une société de multiservices, dont l'activité n'a pas été autrement précisée, mais qui lui rapporte quelques revenus. Sur la base du dossier et aux dires des recourants, sa situation financière lui permet de vivre correctement dans son pays (cf. mémoire de recours p. 2). Sur le plan patrimonial, au vu des pièces produites, l'intéressée est propriétaire d'un bâti sur 300m2 et d'un non-bâti sur 480 m2 ; elle indique aussi avoir deux immeubles en cours d'immatriculation. Ces éléments tendent également à démontrer ses liens étroits avec son pays d'origine. Par ailleurs, les recourants assurent que l'intéressée est de bonne foi, qu'elle a un sens accru des responsabilités et qu'elle n'a aucun intérêt à prolonger son séjour dans l'Espace Schengen (cf. mémoire de recours p. 1 et 2, mémoire de réplique p. 1 et 2). Même si ces allégations ne sont pas décisives et ne garantissent pas un retour de celle-ci au Cameroun à l'issue du visa sollicité, elles ne sauraient être écartées sans autres dans le contexte des liens étroits avec le pays d'origine, tels qu'évoqués ci-dessus. De plus, les recourants promettent sa prise en charge financière complète pendant la durée de son séjour (cf. lettre des recourants du 14 mars 2013 ; mémoire de réplique p. 2). Force est d'admettre, dans les circonstances du cas d'espèce, que le risque que l'intéressée choisisse de s'exiler dans un environnement qui lui est inconnu, alors que ses principales attaches, tant au niveau familial que professionnel, sont dans sa patrie au Cameroun, est faible (en ce sens également l'arrêt du Tribunal administratif fédéral C-548/2013 du 4 février 2014).</w:t>
      </w:r>
    </w:p>
    <w:p>
      <w:r>
        <w:rPr>
          <w:b/>
        </w:rPr>
        <w:t>E. 6.2</w:t>
      </w:r>
    </w:p>
    <w:p>
      <w:r>
        <w:t>En définitive, le Tribunal estime qu'il n'y a pas lieu de mettre en doute la bonne foi de l'intéressée lorsqu'elle déclare vouloir respecter les termes du visa. S'il peut comprendre les craintes de l'autorité inférieure, celles-ci ne sauraient justifier un refus d'autorisation d'entrée.</w:t>
      </w:r>
    </w:p>
    <w:p>
      <w:r>
        <w:rPr>
          <w:b/>
        </w:rPr>
        <w:t>E. 7</w:t>
      </w:r>
    </w:p>
    <w:p>
      <w:r>
        <w:t>Toutefois, la durée du visa sollicité (soixante jours) apparaît excessive au vu du but poursuivi et des implications qu'une telle période d'absence pourrait avoir, en particulier eu égard aux responsabilités de l'intéressée envers ses enfants encore en âge scolaire. En outre, afin de pouvoir s'absenter soixante jours, son employeur a dû lui accorder, en plus du congé annuel habituel de trente jours, un congé supplémentaire exceptionnel également de trente jours. Prévu pour des dates précises l'année passée, il n'est dès lors pas certain que ce congé exceptionnel pourra lui être accordé à nouveau. Au vu des obligations familiales et professionnelles alléguées et du but de la visite, le Tribunal estime qu'une durée de trente jours est suffisante, en l'espèce, pour permettre à l'intéressée de visiter sa soeur et sa nièce en bas âge.</w:t>
      </w:r>
    </w:p>
    <w:p>
      <w:r>
        <w:rPr>
          <w:b/>
        </w:rPr>
        <w:t>E. 8</w:t>
      </w:r>
    </w:p>
    <w:p>
      <w:r>
        <w:t>En conséquence, compte tenu des éléments qui précèdent, le Tribunal est amené à considérer que le retour de C._______ au Cameroun à l'échéance d'un visa de trente jours peut être tenu, avec un haut degré de probabilité, pour garanti. Tout bien considéré, il serait inopportun de refuser l'autorisation d'entrée sollicitée, l'intérêt privé de l'intéressée à pouvoir rendre visite à sa soeur et à sa nièce dans le canton de Vaud, durant trente jours, prévalant sur l'intérêt public contraire à refuser le visa sollicité au vu des garanties apportées quant la sortie de l'Espace Schengen dans le délai fixé.</w:t>
      </w:r>
    </w:p>
    <w:p>
      <w:r>
        <w:rPr>
          <w:b/>
        </w:rPr>
        <w:t>E. 9</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10</w:t>
      </w:r>
    </w:p>
    <w:p>
      <w:r>
        <w:t>Le recours est en conséquence partiellement admis, la décision attaquée annulée et la cause renvoyée pour nouvel examen à l'autorité inférieure, laquelle est invitée à autoriser l'entrée en Suisse de C._______ dans le but d'accomplir une visite d'ordre familial de trente jours, après avoir déterminé si la prénommée remplit les conditions d'entrée posées par le code frontières Schengen ou s'il convient, le cas échéant, de lui octroyer un visa à validité territoriale limitée en application de l'art. 2 al. 4 OEV.</w:t>
      </w:r>
    </w:p>
    <w:p>
      <w:r>
        <w:rPr>
          <w:b/>
        </w:rPr>
        <w:t>E. 11.1</w:t>
      </w:r>
    </w:p>
    <w:p>
      <w:r>
        <w:t>Les recourants obtenant partiellement gain de cause, il y a lieu de mettre des frais réduits à leur charge, à hauteur de Fr. 400.- (cf. art. 63 al. 1 PA et art. 1ss du règlement du 21 février 2008 concernant les frais, dépens et indemnités fixés par le Tribunal administratif fédéral (FITAF, RS 173.320.2).</w:t>
      </w:r>
    </w:p>
    <w:p>
      <w:r>
        <w:rPr>
          <w:b/>
        </w:rPr>
        <w:t>E. 11.2</w:t>
      </w:r>
    </w:p>
    <w:p>
      <w:r>
        <w:t>Il ne se justifie par ailleurs pas d'allouer des dépens aux recourants. En effet, ceux-ci n'ont pas fait appel à un mandataire professionnel, de sorte que leurs frais dans la présente procédure peuvent être considérés comme étant relativement peu élevés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