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C-2381/2015 vom 8. Februar 2016</w:t>
      </w:r>
    </w:p>
    <w:p>
      <w:r>
        <w:t>Bundesverwaltungsgericht, 2016-02-08, FR</w:t>
      </w:r>
    </w:p>
    <w:p>
      <w:r>
        <w:rPr>
          <w:b/>
        </w:rPr>
        <w:t xml:space="preserve">Quelle: </w:t>
      </w:r>
      <w:r>
        <w:t>https://mcp.opencaselaw.ch/entscheid/bvger_C-2381_2015</w:t>
      </w:r>
    </w:p>
    <w:p>
      <w:r>
        <w:t>FR: TAF C-2381/2015 du 8 février 2016</w:t>
      </w:r>
    </w:p>
    <w:p>
      <w:r>
        <w:t>IT: TAF C-2381/2015 del 8 febbraio 2016</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 Moor / Poltier, Droit administratif, Berne 2011, vol. II, pp. 300 et 301, ch. 2.2.6.5 ;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SPOP a soumis sa décision du 7 novembre 2014 à l'approbation fédérale en conformité avec la législation et la jurisprudence (cf. à ce sujet, ATF 141 II 169 consid. 4.3.1, 4.3.2 et 6.1 ; arrêt du Tribunal administratif fédéral C-1621/2013 du 21 mai 2015 consid. 3.2 à 3.4, et jurispr. cit.). Il s'ensuit que ni le Tribunal, ni le SEM ne sont liés par la décision du SPOP de renouveler l'autorisation de séjour d'A._______ et peuvent parfaitement s'écarter de l'appréciation faite par cette dernière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 cit.). En l'espèce, A._______ a obtenu le 24 juin 2009, en application de l'art. 3 Annexe I ALCP, une autorisation de séjour CE/AELE dans le canton de Vaud par regroupement familial, du fait de son mariage le 27 mars 2009 avec une ressortissante espagnole au bénéfice d'une autorisation d'établissement. Dès lors que son autorisation de séjour n'a pas été renouvelée par les autorités cantonales en raison de la séparation définitive du couple, la poursuite du séjour de l'intéressé en Suisse ne relève désormais plus de l'ALCP, mais de la législation ordinaire sur les étrangers (cf. art. 1 et 2 LEtr).</w:t>
      </w:r>
    </w:p>
    <w:p>
      <w:r>
        <w:rPr>
          <w:b/>
        </w:rPr>
        <w:t>E. 4.2</w:t>
      </w:r>
    </w:p>
    <w:p>
      <w:r>
        <w:t>L'art. 43 al. 1 LEtr prévoit que l'autorité compétente peut octroyer une autorisation de séjour au conjoint étranger du titulaire d'une autorisation d'établissement à condition de vivre en ménage commun avec lui. Cette disposition ne saurait trouver application in casu, dans la mesure où la communauté conjugale est définitivement rompue. En effet, les époux vivent séparés et n'ont pas repris la vie commune depuis le prononcé des mesures protectrices de l'union conjugale le 2 août 2012. Quand bien même le couple continuerait de se fréquenter "amicalement" depuis cette date (cf. mémoire de recours, p. 9), le recourant ne peut donc plus déduire de l'art. 43 al. 1 LEtr un droit à une autorisation de séjour. 4.3 Après un séjour légal ininterrompu de cinq ans, le conjoint a droit à l'octroi d'une autorisation d'établissement (cf. art. 43 al. 2 LEtr). Encore faut-il que, durant ce laps de temps, il ait vécu en ménage commun ou ait pu invoquer l'exception à l'exigence du ménage commun prévue à l'art. 49 LEtr (cf. Martina Caroni in : Caroni/Gächter/Thurnherr [éd.], Bundesgesetz über die Ausländerinnen und Ausländer [AuG], 2010, ad art. 42 n. 55 ; Marc Spescha in : Spescha, Thür, Zünd, Bolzli [éd.], Migrationsrecht, 3ème édition, 2012, ad art. 42 n. 9). Dans le cas particulier, le recourant n'a pas vécu en ménage commun pendant cinq ans avec son épouse. Il n'a dès lors pas non plus de droit à l'octroi d'une autorisation d'établissement fondée sur l'art. 43 al. 2 LEtr.</w:t>
      </w:r>
    </w:p>
    <w:p>
      <w:r>
        <w:rPr>
          <w:b/>
        </w:rPr>
        <w:t>E. 4.4</w:t>
      </w:r>
    </w:p>
    <w:p>
      <w:r>
        <w:t>Compte tenu de ce qui précède, A._______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 131 II 265 consid. 5).</w:t>
      </w:r>
    </w:p>
    <w:p>
      <w:r>
        <w:rPr>
          <w:b/>
        </w:rPr>
        <w:t>E. 5</w:t>
      </w:r>
    </w:p>
    <w:p>
      <w:r>
        <w:t>Il convient dès lors d'examiner si le recourant peut se prévaloir d'un droit à la prolongation de son autorisation de séjour en vertu de l'art. 50 LEtr (cf. arrêt du Tribunal fédéral 2C_556/2010 du 2 décembre 2010 consid. 4), en relation avec l'art. 77 al. 1 de l'ordonnance du 24 octobre 2007 relative à l'admission, au séjour et à l'exercice d'une activité lucrative (OASA, RS 142.201).</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union conjugale au sens de l'art. 50 al. 1 let. a LEtr suppose que la relation entre époux soit effectivement vécue et que ces derniers aient la volonté de la maintenir (cf. notamment ATF 138 II 229 consid. 2 ; 137 II 345 consid. 3.1.2). Pour cela, il faut se baser essentiellement sur la durée pendant laquelle le couple a fait ménage commun en Suisse (cf. notamment ATF 138 II précité consid. 2 ; 136 II précité consid. 3.3.5), à savoir sur la durée extérieurement perceptible du domicile matrimonial commun (cf. notamment ATF 137 II précité, ibid.).</w:t>
      </w:r>
    </w:p>
    <w:p>
      <w:r>
        <w:rPr>
          <w:b/>
        </w:rPr>
        <w:t>E. 5.1.1</w:t>
      </w:r>
    </w:p>
    <w:p>
      <w:r>
        <w:t>Comme relevé ci-dessus, A._______ a contracté mariage avec B._______ le 27 mars 2009 et a été mis de ce fait au bénéfice d'une autorisation de séjour pour vivre auprès d'elle. Or, selon leurs déclarations devant l'autorité cantonale compétente, les conjoints se sont définitivement séparés soit le 1er ou le 2 août 2012, cette dernière date correspondant à la date officielle de leur séparation (cf. p.-v. d'audition du 14 août 2013 de B._______, p. 3), ou alors deux à trois mois avant cette date (cf. p.-v. d'audition du 14 août 2013 de A._______, p. 2). En tout état de cause, quelle que soit la date de séparation retenue, l'on doit constater que le recourant a vécu en union conjugale avec B._______ durant plus de trois ans. L'autorité inférieure a émis des doutes quant à la réalité d'une communauté conjugale effectivement vécue pendant trois, "au regard de l'ensemble des déclarations des époux relatives au déroulement de la vie conjugale" (cf. décision entreprise, p. 3). Force est cependant d'admettre, au vu des pièces figurant au dossier cantonal, que pareil doute ne se fonde sur aucun élément concret (voir au surplus l'arrêt du Tribunal administratif fédéral C-5122/2014 du 13 janvier 2016 consid. 5.1.1 et 5.1.2). In casu, il appert en effet que les conjoints ont bien vécu à partir du 27 mars 2009 à la même adresse, soit à Chavannes-près-Renens (VD), et ce jusqu'à leur séparation (cf. les annonces de mutation pour étrangers qui ont été opérées le 16 juin 2009 par le Contrôle des habitants de Lausanne et le 19 octobre 2012 par le Bureau des étrangers d'Ecublens). Vu ce qui précède, il y a lieu de considérer que l'union conjugale a bien duré plus de trois ans au sens de l'art. 50 al. 1 let. a LEtr. Du reste, le SPOP est arrivé à la même conclusion (cf. décision du 7 novembre 2014). Il s'ensuit que la première condition de cette disposition est réalisée.</w:t>
      </w:r>
    </w:p>
    <w:p>
      <w:r>
        <w:rPr>
          <w:b/>
        </w:rPr>
        <w:t>E. 5.1.2</w:t>
      </w:r>
    </w:p>
    <w:p>
      <w:r>
        <w:t>Il convient dès lors d'examiner si l'intégration du recourant peut être considérée comme réussie au sens du deuxième terme de l'art. 50 al. 1 let. a LEtr. 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l'ATF 134 II 1 consid. 4.1 et les arrêts du Tribunal fédéral 2C_14/2014 consid. 4.6.1, 2C_704/2012 du 23 juillet 2012 consid. 4.3, 2C_329/2012 du 29 juin 2012 consid. 2.2 et 2C_997/2011 du 3 avril 2012 consid. 4.3).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précité consid. 2.4,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Tribunal fédéral 2C_730/2014 du 24 novembre 2014 consid. 3.3, 2C_777/2013 du 17 février 2014 consid. 3.2 et 2C_983/2011 du 13 juin 2012 consid. 3.2, ainsi que l'arrêt du Tribunal fédéral 2C_427/2011 du 26 octobre 2011 consid. 5.3 dans le cadre duquel les critères de l'intégration ont été retenus nonobstant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l'arrêt du Tribunal fédéral 2C_749/2011 du 20 janvier 2012 consid. 3.3).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précité consid. 3.3 in fine).</w:t>
      </w:r>
    </w:p>
    <w:p>
      <w:r>
        <w:rPr>
          <w:b/>
        </w:rPr>
        <w:t>E. 5.1.2.1</w:t>
      </w:r>
    </w:p>
    <w:p>
      <w:r>
        <w:t>Dans le cas particulier, A._______ fait valoir sur le plan professionnel qu'il a fourni de nombreux documents démontrant qu'il travaille en Suisse depuis 2009, qu'il a toujours été très apprécié de ses employeurs et qu'il s'est inscrit à divers cours dans le but de se perfectionner. Aussi considère-t-il que ces documents ne peuvent qu'attester de sa bonne volonté de participer à la vie économique (cf. mémoire de recours, p. 12). Par ailleurs, le recourant soutient avoir exercé une activité lucrative en Suisse depuis plus de six ans, qu'il n'a jamais sollicité l'aide sociale durant sa présence sur le territoire helvétique et qu'il est parfaitement capable de subvenir seul à son entretien. En outre, il insiste sur le fait qu'il n'a fait l'objet d'aucune poursuite et d'aucun acte de défaut de biens (ibid., p. 5s). Le SEM ne remet pas en cause ces éléments, mais considère qu'A._______ a exercé des emplois "peu qualifiés et à des taux variables". De plus, il constate que ce n'est que "relativement tardivement", soit à partir de l'année 2012, qu'il a été imposé sur les revenus d'une activité principale à 50% et sur ceux provenant d'activités en tant que moniteur d'un centre de fitness. L'autorité inférieure estime dans ces circonstances que le fait d'être au bénéfice d'un contrat de durée indéterminée depuis le 16 février 2015 en qualité de façadier ne justifie pas, à lui seul, d'une intégration réussie qui imposerait la poursuite du séjour en Suisse de l'intéressé (cf. décision entreprise, p. 4). Le Tribunal de céans ne saurait partager cette opinion, tant il est vrai que le recourant bénéfice d'une situation professionnelle stable dans le canton de Vaud (cf. contrat de travail signé le 18 février 2015 [pièce n° 21 jointe au recours]). Il appert des pièces versées au dossier le 13 août 2015 qu'A._______ continue de travailler auprès de la même entreprise de construction à Crissier (VD), ce qui lui permet de réaliser un revenu mensuel brut de Fr. 5'525.- (cf. décompte de salaire du mois de juin 2015 [pièce n° 49]). De plus, l'intéressé poursuit son activité dans un centre de fitness à Lausanne, en effectuant des heures de remplacement (cf. contrat de travail du 8 janvier 2014 [pièce n° 14] et attestation délivrée le 7 avril 2015 [pièce n° 50]). A cela s'ajoute que le recourant est particulièrement apprécié par ses employeurs (cf. pièces n° 16, n° 23 et n° 24). Dans ce contexte, il sied de noter que, selon la jurisprudence, il importe peu que l'indépendance financière résulte d'un emploi peu qualifié. Il s'agit en effet de rappeler que l'intégration réussie au sens de l'art. 50 al. 1 let. a LEtr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consid. 5.1.2 supra). Or, tel est précisément le cas en l'occurrence. Au vu de ce qui précède, il y a lieu d'admettre qu'A._______ est professionnellement intégré en Suisse et qu'il dispose d'un emploi suffisamment stable (cf. en ce sens l'arrêt du Tribunal fédéral 2C_749/2011 du 20 janvier 2012 consid. 4.1). Par ailleurs, il appert que son parcours professionnel révèle un souci de s'assumer financièrement et non un penchant au désoeuvrement (cf. arrêt du Tribunal fédéral 2C_427/2011 du 26 octobre 2011 consid. 5.3).</w:t>
      </w:r>
    </w:p>
    <w:p>
      <w:r>
        <w:rPr>
          <w:b/>
        </w:rPr>
        <w:t>E. 5.1.2.2</w:t>
      </w:r>
    </w:p>
    <w:p>
      <w:r>
        <w:t>Sur le plan de l'intégration sociale, l'autorité de première instance retient que l'intéressé n'a pas démontré concrètement avoir développé une quelconque vie associative en Suisse (cf. décision entreprise, p. 4). Sur ce point, A._______ allègue avoir effectué "de longue date" des dons en faveur de diverses associations caritatives, dont une association active dans le canton de Vaud. Sur ce point, il précise avoir rencontré le responsable de cette association pour lui faire part de son intention de travailler comme bénévole (déterminations du 13 août 2015, p. 4 [pièce n° 59]). S'il est vrai que ces éléments ne suffisent pas en soi, et à eux seuls, à démontrer l'intégration de l'intéressé dans la vie sociale vaudoise, il n'en reste pas moins que de nombreux témoignages attestant de son réel attachement à la Suisse ont été produits à l'appui du recours. Ainsi, l'intéressé est considéré comme "une personne de confiance" (cf. pièce n° 23), "un homme responsable, ponctuel, efficace et agréable" avec la clientèle et ses collègues (pièce n° 24), et disposant "d'un cercle d'amis avec qui il semble entretenir d'excellentes relations" (cf. pièce n° 35). Il s'agit d'une personne "très dévouée et organisée" (pièce n° 36), ayant "toujours répondu aux engagements demandés" (pièce n° 38). Une pièce produite dans la duplique du 13 août 2015 atteste que le recourant est "un homme honnête, sérieux et travailleur" (cf. pièce n° 58). Certes, ces témoignages ne sauraient être pris en compte sans aucune réserve, mais indépendamment de ce qui précède, il s'impose de relever que l'intéressé ne vit pas de manière isolée et s'est forcément créé un cercle de connaissances, ne serait-ce qu'à travers son activité professionnelle. De plus, il convient de tenir compte du fait qu'A._______ a fait ménage commun avec son époux pendant plus de trois années. L'on peut donc partir de l'idée que sa vie de couple a assurément amené le recourant à nouer des relations sociales et amicales au travers des rencontres organisées par son épouse avec des personnes de son entourage (cf., sur ce point, l'arrêt du Tribunal fédéral 2C_427/2011 précité, ibid.). On ne saurait dès lors considérer comme insuffisante l'intégration sociale en Suisse du recourant, dont les connaissances de la langue maternelle française paraissent suffisantes au sens de la jurisprudence du Tribunal fédéral évoquée plus haut (cf. consid. 5.1.2). A ce propos, le recourant affirme s'être attaché à perfectionner ses connaissances du français ("il est aujourd'hui presque bilingue") et converse avec la plupart de ses amis en cette langue (cf. mémoire de recours, p. 11). Aussi ce dernier élément tend-il incontestablement à démontrer sa volonté de s'impliquer au mieux dans la vie sociale et économique suisse. En tout état de cause, comme cela a déjà été exposé plus avant (cf. consid. 5.1.2 in fine),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notamment l'arrêt du Tribunal fédéral 2C_749/2011 précité, ibid. ; cf. aussi l'arrêt du Tribunal administratif fédéral C-6111/2014 du 4 mars 2015, consid. 6.2.3). 5.1.2.3 Il est vrai que le recourant a fait l'objet d'une mesure d'interdiction d'entrée en Suisse en 2007, pour avoir contrevenu à la législation sur les étrangers, et d'une condamnation pénale en août 2013, pour vol (cf. let. A et E supra). A l'instar de l'autorité inférieure, il y a donc lieu de retenir que le recourant ne peut pas se prévaloir d'un comportement irréprochable en ce pays. L'argument avancé par l'intéressé selon lequel il avait renoncé à former opposition contre dite condamnation pénale sous prétexte qu'il n'avait pas les moyens financiers nécessaires ne saurait être retenu, ni du reste l'objection selon laquelle il n'avait jamais pensé que cette infraction posait problème pour obtenir la prolongation de son autorisation de séjour (cf. mémoire de recours, p. 10). Cela étant, il s'agit, dans le cadre du large pouvoir d'appréciation au sens de l'art. 96 al. 1 LEtr dont jouissent les autorités, de prendre en compte l'ensemble des circonstances du cas d'espèce et de procéder à une pondération des intérêts publics et privés en présence. Or, en l'occurrence, il appert que le vol commis le 11 octobre 2012 est la seule infraction pénale qui puisse être reprochée à l'intéressé depuis sa présence sur le territoire helvétique. Aussi dite infraction, qui peut être qualifiée de "mineure" ou de "peu grave" (ibid.), ne saurait-elle revêtir une importance déterminante dans la présente cause et contrebalancer les éléments positifs mentionnés plus haut, qui parlent en faveur d'une intégration professionnelle et sociale réussie en Suisse (cf. dans ce sens, l'arrêt du Tribunal fédéral 2C_352/2014 du 18 mars 2015 consid. 4.4 et 4.5).</w:t>
      </w:r>
    </w:p>
    <w:p>
      <w:r>
        <w:rPr>
          <w:b/>
        </w:rPr>
        <w:t>E. 5.1.3</w:t>
      </w:r>
    </w:p>
    <w:p>
      <w:r>
        <w:t>Au vu de ce qui précède et en référence à la jurisprudence développée par le Tribunal fédéral en la matière telle que rappelée ci-dessus, le Tribunal estime, contrairement à l'appréciation du SEM, que l'intégration du recourant doit être considérée comme réussie au sens de l'art. 50 al. 1 let. a LEtr. Partant, du moment qu'A._______ satisfait aux deux conditions d'application de la disposition légale précitée, le recours doit être admis, la décision attaquée du 13 mars 2015 annulée et la prolongation par les auto­rités cantonales vaudoises de son autorisation de séjour approuvée, étant précisé qu'il est superflu, dans ces circonstances, d'examiner si les conditions posées par les art. 50 al. 1 let. b et 50 al. 2 LEtr sont remplies en l'occurrence (cf. notamment arrêt du Tribunal fédéral 2C_427/2011 précité, consid. 5.4).</w:t>
      </w:r>
    </w:p>
    <w:p>
      <w:r>
        <w:rPr>
          <w:b/>
        </w:rPr>
        <w:t>E. 6</w:t>
      </w:r>
    </w:p>
    <w:p>
      <w:r>
        <w:t>Vu l'issue de la présente cause, il n'est point nécessaire de donner suite à la réquisition du recourant tendant à son audition et celle de son épouse (cf. mémoire de recours, p. 14s, et duplique du 13 août 2015).</w:t>
      </w:r>
    </w:p>
    <w:p>
      <w:r>
        <w:rPr>
          <w:b/>
        </w:rPr>
        <w:t>E. 7</w:t>
      </w:r>
    </w:p>
    <w:p>
      <w:r>
        <w:t>Bien qu'elle succombe, l'autorité inférieure n'a pas à supporter de frais de procédure (cf. art. 63 al. 2 PA). Obtenant gain de cause, le recourant n'a pas à supporter de frais de procédure (cf. art. 63 al. 1 a contrario et al. 3 PA) et a droit à des dépens (art. 64 al. 1 PA en relation avec l'art. 7 du règlement concernant les frais, dépens et indemnités fixés par le Tribunal administratif fédéral du 21 février 2008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8ss FITAF, que le versement d'un montant de 1'800 francs à titre de dépens, couvrant l'ensemble des frais de représentation au sens de l'art. 9 al. 1 let. a à c FITAF (à savoir les honoraires d'avocat, les frais encourus et la TVA),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