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C-237/2009 vom 13. Juli 2009</w:t>
      </w:r>
    </w:p>
    <w:p>
      <w:r>
        <w:t>Bundesverwaltungsgericht, 2009-07-13, DE</w:t>
      </w:r>
    </w:p>
    <w:p>
      <w:r>
        <w:rPr>
          <w:b/>
        </w:rPr>
        <w:t xml:space="preserve">Quelle: </w:t>
      </w:r>
      <w:r>
        <w:t>https://mcp.opencaselaw.ch/entscheid/bvger_C-237_2009</w:t>
      </w:r>
    </w:p>
    <w:p>
      <w:r>
        <w:t>FR: TAF C-237/2009 du 13 juillet 2009</w:t>
      </w:r>
    </w:p>
    <w:p>
      <w:r>
        <w:t>IT: TAF C-237/2009 del 13 luglio 2009</w:t>
      </w:r>
    </w:p>
    <w:p>
      <w:pPr>
        <w:pStyle w:val="Heading2"/>
      </w:pPr>
      <w:r>
        <w:t>Regeste</w:t>
      </w:r>
    </w:p>
    <w:p>
      <w:r>
        <w:t>Familiennachzug</w:t>
      </w:r>
    </w:p>
    <w:p>
      <w:pPr>
        <w:pStyle w:val="Heading2"/>
      </w:pPr>
      <w:r>
        <w:t>Erwägungen</w:t>
      </w:r>
    </w:p>
    <w:p>
      <w:r>
        <w:rPr>
          <w:b/>
        </w:rPr>
        <w:t>E. 1.1</w:t>
      </w:r>
    </w:p>
    <w:p>
      <w:r>
        <w:t>Verfügungen des BFM betr. Zustimmung zu einer kantonalen Aufenthaltsbewilligung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 anderes bestimmt (vgl. auch Art. 2 Abs. 4 VwVG).</w:t>
      </w:r>
    </w:p>
    <w:p>
      <w:r>
        <w:rPr>
          <w:b/>
        </w:rPr>
        <w:t>E. 1.3</w:t>
      </w:r>
    </w:p>
    <w:p>
      <w:r>
        <w:t>Die Beschwerdeführer sind zur Beschwerde legitimiert, und ihr Rechtsmittel wurde frist- und formgerecht eingereicht (Art. 48 ff. VwVG). Auf die Beschwerde ist deshalb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und Rechtslage zum Zeitpunkt seines Entscheides (vgl. E. 1.2 des in BGE 129 II 215 teilweise publizierten Urteils 2A.451/2002 vom 28. März 2003).</w:t>
      </w:r>
    </w:p>
    <w:p>
      <w:r>
        <w:rPr>
          <w:b/>
        </w:rPr>
        <w:t>E. 3.1</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Dabei ist grundsätzlich ohne Belang, ob das Verfahren auf Gesuch hin (Art. 126 Abs. 1 AuG) oder von Amtes wegen eröffnet wurde (per analogiam Art. 126 Abs. 1 AuG; vgl. BVGE 2008/1 E. 2 mit Hinweisen). Das Verfahren selbst folgt dem neuen Verfahrens- (und Organisationsrecht, vgl. Art. 126 Abs. 2 AuG).</w:t>
      </w:r>
    </w:p>
    <w:p>
      <w:r>
        <w:rPr>
          <w:b/>
        </w:rPr>
        <w:t>E. 3.2</w:t>
      </w:r>
    </w:p>
    <w:p>
      <w:r>
        <w:t>In casu wurde das Verfahren mit dem (Wiedererwägungs-)Gesuch vom 28. Januar 2008 eingeleitet. Die früher eingeleiteten Verfahren um Familiennachzug für den Beschwerdeführer 2 sind alle noch vor dem 1. Januar 2008 abgeschlossen worden. Demnach ist vorliegend sowohl materiell als auch in verfahrensrechtlicher Hinsicht das neue Recht (AuG und VZAE) anwendbar.</w:t>
      </w:r>
    </w:p>
    <w:p>
      <w:r>
        <w:rPr>
          <w:b/>
        </w:rPr>
        <w:t>E. 4</w:t>
      </w:r>
    </w:p>
    <w:p>
      <w:r>
        <w:t>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 So bedarf es unter anderem der Zustimmung des BFM, wenn bestimmte Personen- und Gesuchskategorien zur Koordination der Praxis im Rahmen des Gesetzesvollzugs der Zustimmungspflicht unterstellt werden (vgl. Art. 85 Abs. 1 Bst. a VZAE), oder jenes die Unterbreitung zur Zustimmung in einem Einzelfall verlangt (Art. 85 Abs. 1 Bst. b VZAE). Die kantonale Ausländerbehörde kann dem BFM zudem einen kantonalen Entscheid für die Überprüfung der bundesrechtlichen Voraussetzungen zur Zustimmung unterbreiten (Art. 85 Abs. 3 VZAE).</w:t>
      </w:r>
    </w:p>
    <w:p>
      <w:r>
        <w:rPr>
          <w:b/>
        </w:rPr>
        <w:t>E. 5.1</w:t>
      </w:r>
    </w:p>
    <w:p>
      <w:r>
        <w:t>Nach Art. 43 Abs. 1 AuG haben ausländische Ehegatten und ledige Kinder unter 18 Jahren von Personen mit Niederlassungsbewilligung Anspruch auf Erteilung und Verlängerung der Aufenthaltsbewilligung, wenn sie mit diesen zusammenwohnen. Kinder unter zwölf Jahren haben Anspruch auf Erteilung der Niederlassungsbewilligung (Art. 43 Abs. 3 AuG). Der Anspruch auf Familiennachzug muss innerhalb von fünf Jahren geltend gemacht werden. Kinder über zwölf Jahre müssen innerhalb von zwölf Monaten nachgezogen werden (Art. 47 Abs. 1 AuG). Sinn und Zweck dieser Fristenregelung ist einerseits, die Integration von Kindern zu erleichtern, indem sie möglichst früh nachgezogen werden. Anderseits soll damit verhindert werden, dass Gesuche um Nachzug der Kinder rechtsmissbräuchlich erst kurz vor Erreichen des erwerbsfähigen Alters gestellt werden (Botschaft des Bundesrates zum Bundesgesetz über die Ausländerinnen und Ausländer vom 8. März 2002, BBl 2002, S. 3754 f., Ziff. 1.3.7.7). Die Frist beginnt grundsätzlich mit der Erteilung der Niederlassungsbewilligung oder der Entstehung des Familienverhältnisses (Art. 47 Abs. 3 Bst. b AuG). Übergangsrechtlich beginnt sie jedoch mit dem Inkraftreten des AuG am 1. Januar 2008, sofern vor diesem Zeitpunkt die Einreise erfolgt oder das Familienverhältnis entstanden ist (Art. 126 Abs. 3 AuG).</w:t>
      </w:r>
    </w:p>
    <w:p>
      <w:r>
        <w:rPr>
          <w:b/>
        </w:rPr>
        <w:t>E. 5.2</w:t>
      </w:r>
    </w:p>
    <w:p>
      <w:r>
        <w:t>Art. 8 Ziff. 1 der Konvention vom 4. November 1950 zum Schutze der Menschenrechte und Grundfreiheiten (EMRK, SR 0.101) und der inhaltlich gleichwertige Art. 13 Abs. 1 der Bundesverfassung der Schweizerischen Eidgenossenschaft vom 18. April 1999 (BV, SR 101) garantieren den Schutz des Privat- und Familienlebens. Darauf kann sich im Zusammenhang mit einer fremdenpolizeilichen Bewilligung berufen, wer nahe Verwandte (Ehegatte, minderjährige Kinder) mit einem gefestigten Anwesenheitsrecht (Schweizer Bürgerrecht, Niederlassungsbewilligung, Anspruch auf Verlängerung der befristeten Aufenthaltsbewilligung) oder selbst ein solches Anwesenheitsrecht in der Schweiz hat, sofern die familiäre Beziehung tatsächlich gelebt wird und intakt ist (vgl. BGE 130 II 281 E. 3.1). Art. 8 Ziff. 1 EMRK und Art. 13 Abs. 1 BV verschaffen jedoch keine über Art. 43 Abs. 1 AuG hinausgehenden Ansprüche.</w:t>
      </w:r>
    </w:p>
    <w:p>
      <w:r>
        <w:rPr>
          <w:b/>
        </w:rPr>
        <w:t>E. 6</w:t>
      </w:r>
    </w:p>
    <w:p>
      <w:r>
        <w:t>Der Beschwerdeführer 2 ist ledig, noch nicht 18 Jahre alt und Sohn des Beschwerdeführers 1, der sich seit März 2002 ordnungsgemäss in der Schweiz aufhält, das Sorgerecht über den Beschwerdeführer 2 hat und seit dem 8. März 2007 über eine Niederlassungsbewilligung verfügt. Sie beabsichtigen, in der Schweiz zusammenzuwohnen. Damit hat der Beschwerdeführer 2 gemäss Art. 43 Abs. 1 AuG grundsätzlich Anspruch auf Erteilung einer Aufenthaltsbewilligung. Der Anspruch besteht unter der Voraussetzung, dass der Nachzug fristgerecht erfolgt. Als über zwölfjähriges Kind muss der Beschwerdeführer 2 innerhalb eines Jahres nachgezogen werden (Art. 47 Abs. 1 Satz 2 AuG). Gemäss Art. 126 Abs. 3 AuG ist das fristauslösende Element das Inkrafttreten des AuG am 1. Januar 2008. Mit dem Gesuch vom 28. Januar 2008 wurde in casu der Nachzug rechtzeitig beantragt, weshalb auch nicht die speziellen Voraussetzungen ("wichtige familiäre Gründe") für einen nachträglichen Familiennachzug gemäss Art. 47 Abs. 4 AuG zur Anwendung gelangen. Denn um einen nachträglichen Familiennachzug kann es sich nur handeln, wenn die Frist nach Art. 43 Abs. 3 AuG verpasst worden ist (vgl. NICCOLO RASELLI/CHRISTINA HAUSAMMANN/URS PETER MÖCKLI/DAVID URWYLER, Ausländische Kinder sowie andere Angehörige, in: Uebersax/Rudin/Hugi Yar/Geiser [Hrsg.], Ausländerrecht, 2. Auflage, Basel 2009, Rz. 16.11, S. 751).</w:t>
      </w:r>
    </w:p>
    <w:p>
      <w:r>
        <w:rPr>
          <w:b/>
        </w:rPr>
        <w:t>E. 7</w:t>
      </w:r>
    </w:p>
    <w:p>
      <w:r>
        <w:t>Die Vorinstanz geht in der angefochtenen Verfügung davon aus, dass die bereits beim ehemaligen Bundesgesetz vom 26. März 1931 über Aufenthalt und Niederlassung der Ausländer (ANAG, BS 1 121; vgl. zum vollständigen Quellennachweis Ziff. I des Anhangs 2 zum AuG) geltenden Kriterien für den Nachzug von Kindern durch einen Elternteil beim AuG weiterhin zur Anwendung gelangen würden und das Familiennachzugsgesuch vorliegend auch rechtsmissbräuchlich sei. Die Beschwerdeführer hingegen legen dar, dass der Anspruch auf Familiennachzug nach Art. 43 Abs. 1 AuG voraussetzungslos bestehe, zumal der Wortlaut dieser Bestimmung klar von Art. 17 Abs. 2 ANAG abweiche und keinen Raum lasse für eine Auslegung, welche zwischen dem Nachzug durch zusammenlebende und getrennt lebende Ehegatten unterscheide. Ferner bestreiten die Beschwerdeführer, den Anspruch auf Familiennachzug rechtsmissbräuchlich geltend gemacht zu haben.</w:t>
      </w:r>
    </w:p>
    <w:p>
      <w:r>
        <w:rPr>
          <w:b/>
        </w:rPr>
        <w:t>E. 8</w:t>
      </w:r>
    </w:p>
    <w:p>
      <w:r>
        <w:t>Gemäss Art. 51 Abs. 2 Bst. a AuG erlöscht ein Anspruch nach Art. 43 AuG, wenn er rechtsmissbräuchlich geltend gemacht wird, namentlich um Vorschriften dieses Gesetzes und seiner Ausführungsbestimmungen über die Zulassung und den Aufenthalt zu umgehen. Damit knüpft diese Bestimmung an die Rechtsprechung des Bundesgerichts zu Art. 17 Abs. 2 ANAG in Bezug auf den Vorbehalt des Verbots des Rechtsmissbrauchs an (vgl. BGE 126 II 329 E. 3b S. 333). Rechtsmissbrauch liegt insbesondere dann vor, wenn ein Rechtsinstitut zweckwidrig zur Verwirklichung von Interessen verwendet wird, die dieses nicht schützen will. Das darf allerdings nicht leichthin angenommen werden. Nur der offenkundige Missbrauch darf dabei Berücksichtigung finden (vgl. BGE 133 II 6 E. 3.2 S. 12). Erforderlich sind konkrete Hinweise darauf, dass die Eltern (bzw. ein Elternteil) nicht primär die Zusammenführung der Familie anstreben, sondern die in Art. 51 Abs. 2 Bst. a AuG genannten Vorschriften umgehen wollen. Wie es sich damit verhält, entzieht sich in der Regel einem direkten Beweis und ist oft nur durch Indizien zu erstellen (vgl. BGE 127 II 49 E. 5a S. 56 f., mit Hinweisen). Grundsätzlich haben die Fremdenpolizeibehörden den Rechtsmissbrauch nachzuweisen, weshalb bei Beweislosigkeit zugunsten des Ausländers zu entscheiden ist. Rechtsmissbrauch liegt namentlich dann vor, wenn das Leben in der Familiengemeinschaft allenfalls eine gewisse Rolle spielen kann, jedoch als Motiv für die Gesuchseinreichung von verschwindend geringer Bedeutung ist (Urteile des Bundesgerichts 2A.235/2002 vom 17. Oktober 2002 E. 4.2 und 2A. 314/2001 vom 10. Dezember 2001, E. 3a und 3d). Sinn des Familiennachzuges ist - wie erwähnt - nicht, den Kindern von in der Schweiz lebenden Ausländern bzw. Angehörigen Arbeit zu verschaffen. Das wirkliche Motiv, Kinder nach Erfüllung der Schulpflicht in der Heimat in die Schweiz nachkommen zu lassen, ist oft, ihnen hier die Aufnahme einer Erwerbstätigkeit zu ermöglichen. Dies lässt auf eine zweckwidrige Inanspruchnahme der Bestimmungen über den Familiennachzug schliessen (KASPAR TRAUB, Familiennachzug im Ausländerrecht, Diss. Basel 1992, S. 95). Je länger mit der Ausübung des Nachzugsrechts ohne sachlichen Grund zugewartet wird und je knapper die verbleibende Zeit bis zur Volljährigkeit ist, umso eher stellt sich bei im Ausland verbliebenen Kindern die Frage, ob wirklich die Herstellung der Familiengemeinschaft beabsichtigt ist oder ob die Ansprüche aus Art. 43 Abs. 1 AuG zweckwidrig für das blosse Verschaffen einer Aufenthalts- bzw. Niederlassungsbewilligung geltend gemacht werden (BGE 126 II 329 E. 3b; Urteil des Bundesverwaltungsgerichts C-4769/2007 vom 8. Juni 2009 E. 5.2).</w:t>
      </w:r>
    </w:p>
    <w:p>
      <w:r>
        <w:rPr>
          <w:b/>
        </w:rPr>
        <w:t>E. 8.1</w:t>
      </w:r>
    </w:p>
    <w:p>
      <w:r>
        <w:t>Aus den Akten ergibt sich, dass der Beschwerdeführer 2 und sein älterer Bruder seit Geburt bei ihrer Mutter lebten und sie vom Beschwerdeführer 1 von der Schweiz aus finanziell unterstützt wurden. Als dem Beschwerdeführer 1 nach vorangegangener Scheidung im Dezember 2002 das Sorgerecht zugesprochen worden war, ersuchte er im Juli 2003 erstmals um den Nachzug des damals zwölfjährigen Beschwerdeführers 2. Dieses Gesuch wurde am 20. Oktober 2004 in zweiter Instanz vom Regierungsrat des Kantons Zürich insbesondere deshalb abgewiesen, weil damals noch von einer vorrangingen familiären Beziehung des Beschwerdeführers 2 zu seiner Mutter ausgegangen wurde. In der Folge hat sich die Situation geändert. Die Kindsmutter soll definitiv zu ihren Eltern gezogen sein. Seit dem Jahre 2006 kann sich auch der ältere Bruder nicht mehr um den Beschwerdeführer 2 kümmern, da er selbständig lebt und auswärts studiert (vgl. Bescheinigung der Universität in Tetovo vom 16. Mai 2007). Dieser Umstand führte dann zum Gesuch vom 12. April 2007, welches am 5. Oktober 2007 von der kantonalen Migrationsbehörde abgewiesen wurde, wobei festgehalten wurde, dass ein Anspruch auf Familiennachzug nur in Frage kommen könne, wenn das nachziehende Kind zum hier lebenden Elternteil eine vorrangige Beziehung pflege und wenn stichhaltige Gründe eine Änderung der bisherigen Betreuungsverhältnisse notwendig machten, was verneint wurde. Einerseits sei davon auszugehen, dass seine Mutter, die am gleichen Ort wohne, nach wie vor Betreuungsaufgaben wahrnehme. Anderseits benötige der Beschwerdeführer 2 im Alter von fast 17 Jahren keine elterliche Betreuung mehr. Beim Gesuch vom 28. Januar 2008 wurde auf die geänderte Rechtslage aufmerksam gemacht (absoluter Anspruch nach Art. 43 AuG auf Nachzug des Kindes auch nur zu einem Elternteil) und auf ein (bisher nicht berücksichtigtes) wesentliches Beweismittel hingewiesen (Schreiben der Mittelschule in Struga vom 17. Oktober 2007 betreffend Schwierigkeiten des Beschwerdeführers 2 in der Schule wegen fehlender elterlicher Betreuung).</w:t>
      </w:r>
    </w:p>
    <w:p>
      <w:r>
        <w:rPr>
          <w:b/>
        </w:rPr>
        <w:t>E. 8.2</w:t>
      </w:r>
    </w:p>
    <w:p>
      <w:r>
        <w:t>Aus dem mehrmaligen Einreichen des Familiennachzugsgesuches kann vorliegend nicht auf rechtsmissbräuchliches Verhalten geschlossen werden, zumal sich - wie aufgezeigt - sowohl die Sach- als auch Rechtslage zwischen den einzelnen Gesuchen geändert hat. Die Rechtslage hat sich, unabhängig vom Inkraftreten des AuG per 1. Januar 2008, schon deshalb geändert, weil es - entgegen den Erwägungen des Migrationsamtes des Kantons Zürich in der Verfügung vom 5. Oktober 2007 - nach der jüngeren Rechtsprechung des Bundesgerichts auf die Frage der vorrangigen Beziehung nicht mehr ankommt (vgl. Urteile des Bundesgerichts 2C_99/2008 vom 23. Juli 2008 E 2.1, 2C_8/2008 vom 14. Mai 2008 E. 2.1 und 2C_290/2007 vom 9. November 2007, E. 2.1). Die neue Regelung von Art. 47 Abs. 1 AuG, wonach der Anspruch auf Familennachzug innerhalb von fünf Jahren geltend gemacht werden muss und Kinder über zwölf Jahre innerhalb von zwölf Monaten nachgezogen werden müssen, bezweckt (unter anderem) den möglichst raschen Nachzug von Kindern. Wenn aber Art. 126 Abs. 3 AuG die Möglichkeit eröffnet, auch über zwölfjährige Kinder innerhalb eines Jahres seit Inkraftreten des AuG nachzuziehen, kann es - wie der Regierungsrat des Kantons Zürich in seinem Entscheid vom 24. September 2008 zutreffend festhielt - von vornherein nicht als missbräuchliches Verhalten angesehen werden, wenn die Beschwerdeführer diesen neuen Rechtsanspruch geltend machen. Der mehrmalige Versuch des Beschwerdeführers 1, mit seinem Sohn zusammenzuleben, zeigt vielmehr, dass nicht absichtlich jahrelang zugewartet wurde, um diesem (mit dem hauptsächlichen Ziel der besseren Zukunftsperspektiven) erst kurz vor dem Vollenden des 18. Altersjahres den Nachzug in die Schweiz zu ermöglichen. Dass er nach dem ersten Gesuch vier Jahre verstreichen liess, bevor er sich erneut um den Nachzug bemühte, erscheint nachvollziehbar und erklärt sich mit den geänderten Umständen im Umfeld des Beschwerdeführers 2, der nun ohne Mutter und ohne älteren Bruder alleine in einem Haus lebt und seinen schulischen Verpflichtungen nicht mehr zuverlässig nachkommt. Andere Umstände bzw. Hinweise dafür, dass das Gesuch vom 28. Januar 2008 in erster Linie eingereicht wurde, um dem Beschwerdeführer in der Schweiz bessere berufliche und gesellschaftliche Chancen zu eröffnen, ergeben sich aus den Akten nicht. Das Leben in der Familiengemeinschaft als Motiv für den Familiennachzug steht hier im Vordergrund.</w:t>
      </w:r>
    </w:p>
    <w:p>
      <w:r>
        <w:rPr>
          <w:b/>
        </w:rPr>
        <w:t>E. 8.3</w:t>
      </w:r>
    </w:p>
    <w:p>
      <w:r>
        <w:t>Im Sinne eines Zwischenergebnisses kommt das Bundesverwaltungsgericht nach dem Gesagten zum Schluss, dass nicht auf eine zweckwidrige Inanspruchnahme von Art. 43 Abs. 1 AuG geschlossen werden kann.</w:t>
      </w:r>
    </w:p>
    <w:p>
      <w:r>
        <w:rPr>
          <w:b/>
        </w:rPr>
        <w:t>E. 9</w:t>
      </w:r>
    </w:p>
    <w:p>
      <w:r>
        <w:t>Das Bundesgericht begründete seine bisherige, restriktive Praxis zur Zusammenführung von Teilfamilien mit dem Hinweis auf den Wortlaut des bis zum 31. Dezember 2007 geltenden Art. 17 Abs. 2 Satz 3 ANAG, der ausdrücklich verlangte, dass die Kinder mit ihren Eltern (Plural) zusammenwohnen (BGE 133 II 6 E. 3.1.1 S. 11). Es folgerte daraus, dass die Nachzugsregelung auf Familien zugeschnitten sei, in denen die (leiblichen) Eltern einen gemeinsamen ehelichen Haushalt führen. Das AuG verwendet den Begriff "Eltern" nicht mehr und erwähnt nur noch Personen mit Niederlassungsbewilligung (Art. 43 Abs. 1 AuG). Die Beschwerdeführer schliessen daraus, dass der Anspruch sich nicht primär auf den Nachzug gemeinsamer Kinder durch beide Elternteile beziehe bzw. nicht mehr die Zusammenführung der Gesamtfamilie erforderlich sei (vgl. dazu NICCOLO RASELLI/CHRISTINA HAUSAMMANN/URS PETER MÖCKLI/DAVID URWYLER, a.a.O., Rz. 16.6, S. 749; MARC SPESCHA/HANSPETER THÜR/ANDREAS ZÜND/PETER BOLZLI, Migrationsrecht, Zürich 2008, S. 100, Rz. 2 zu Art. 43 AuG). Nach Ansicht der Vorinstanz hingegen gelten die für den Nachzug von Kindern durch einen Elternteil restriktiven Kriterien (Abwägung zwischen den privaten Interessen auf Zusammenleben in der Schweiz und dem öffentlichen Interesse an einer restriktiven Einwanderungspolitik; Berücksichtigung der persönlichen und familiären Situation des Kindes, insbesondere seine Integrationsaussichten bzw. Integrationsprobleme; Intensität der Beziehung mit dem Elternteil in der Schweiz; Länge der Trennung vom Elternteil in der Schweiz bzw. Bindung zu Betreuungspersonen in der Heimat; Länge des Aufenthalts im Herkunftsland bzw. Dauer bis zur Volljährigkeit; allfällige Alternativen in der Betreuung im Heimatland).</w:t>
      </w:r>
    </w:p>
    <w:p>
      <w:r>
        <w:rPr>
          <w:b/>
        </w:rPr>
        <w:t>E. 9.1</w:t>
      </w:r>
    </w:p>
    <w:p>
      <w:r>
        <w:t>Ausgangspunkt jeder Gesetzesauslegung ist der Wortlaut einer Bestimmung (vgl. für diesen auch im Verwaltungsrecht geltenden Grundsatz Art. 1 Abs. 1 des Schweizerischen Zivilgesetzbuches vom 10. Dezember 1907 [ZGB, SR 210]). Ist der Text nicht ohne weiteres klar und sind verschiedene Interpretationen möglich, so muss unter Berücksichtigung aller Auslegungsmethoden (grammatikalische, systematische, historische, teleologische,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131 III 33 E. 2 S. 35 und 130 II 202 E. 5.1 S. 212 f.; Urteil des Bundesverwaltungsgerichts D-2279/2007 vom 11. Juli 2007 E. 4.1, mit weiteren Hinweisen).</w:t>
      </w:r>
    </w:p>
    <w:p>
      <w:r>
        <w:rPr>
          <w:b/>
        </w:rPr>
        <w:t>E. 9.1.1</w:t>
      </w:r>
    </w:p>
    <w:p>
      <w:r>
        <w:t>Die grammatikalische Auslegung stellt auf Wortlaut, Wortsinn und Sprachgebrauch ab. In der deutschen Fassung des Art. 43 Abs. 1 AuG ist die Rede von "Personen mit Niederlassungsbewilligung". Selbstverständlich fallen unter diesen Begriff auch die Eltern von nachzuziehenden Kindern. Nachdem sich die bisherige Auslegung aber stark an den Wortlaut anlehnte und "Eltern" als zwingenden Ausdruck für beide Elternteile betonte, liegt es auf der Hand, dass durch das Weglassen dieses Begriffes im AuG der Anspruch auf Nachzug der Kinder in gleicher Weise gegeben ist, wenn die Familienzusammenführung lediglich zu einem Elternteil erfolgen soll. Offensichtlich wurde mit der neuen Formulierung der Tatsache Rechnung getragen, dass heute vermehrt andere Familienformen bestehen. Noch klarer ist es, wenn man auf die französischen und italienischen Gesetzestexte abstellt, die von "titulaire d'une autorisation d'établissement" bzw. "uno straniero titolare del permesso di domicilio" reden und somit keinen Mehrzahlbegriff verwenden.</w:t>
      </w:r>
    </w:p>
    <w:p>
      <w:r>
        <w:rPr>
          <w:b/>
        </w:rPr>
        <w:t>E. 9.1.2</w:t>
      </w:r>
    </w:p>
    <w:p>
      <w:r>
        <w:t>Bei der systematischen Betrachtung wird der Sinn der Rechtsnorm bestimmt durch ihr Verhältnis zu anderen Rechtsnormen und durch den systematischen und logischen Zusammenhang. Art. 43 Abs. 1 AuG enthält den Grundsatz auf Anspruch auf Familiennachzug ohne irgendwelche Einschränkungen oder Vorbehalte. In Art. 47 Abs. 1 und Abs. 3 ist sodann geregelt, innerhalb welcher Fristen der Anspruch geltend gemacht werden muss und ab welchem Zeitpunkt die Fristen zu laufen beginnen. Art. 47 Abs. 4 hält schliesslich fest, dass ein nachträglicher Familiennachzug nur bewilligt wird, wenn wichtige familiäre Gründe geltend gemacht werden. Den Gesetzesmaterialien ist zu entnehmen, dass mit den wichtigen familiären Gründen die in der Rechtsprechung des Bundesgerichts bezüglich Artikel 8 EMRK und Art. 17 Abs. 2 ANAG entwickelten besonderen Bedingungen und Umstände, welche den ansonsten vorbehaltlosen Anspruch einschränken, gemeint sind (vgl. Antrag/Votum Nationalrat Philipp Müller, Amtliches Bulletin der Bundesversammlung [AB] 2004 N 759). Indem die wichtigen familiären Gründe erst im Zusammenhang mit dem nachträglichen Familiennachzug aufgeführt werden, ist aus Sicht der Systematik und des logischen Zusammenhangs davon auszugehen, dass der rechtzeitig geltend gemachte Anspruch auf Familiennachzug - mit Ausnahme des Rechtsmissbrauchs - vorbehaltlos gilt. Daran vermag auch die von der Vorinstanz zitierte Rechtsprechung des Bundesgerichts (BGE 133 II 6) nichts zu ändern, zumal der in jenem Urteil enthaltene Verweis auf das AuG explizit den Fall des nachträglichen Familiennachzugs gemäss Art. 47 Abs. 4 AuG betrifft (BGE 133 II 6 E. 5.4 S. 20 f.), der in casu - wie bereits erwähnt - nicht zur Diskussion steht.</w:t>
      </w:r>
    </w:p>
    <w:p>
      <w:r>
        <w:rPr>
          <w:b/>
        </w:rPr>
        <w:t>E. 9.1.3</w:t>
      </w:r>
    </w:p>
    <w:p>
      <w:r>
        <w:t>Die historische Auslegung stellt auf den Sinn und Zweck ab, den man einer Norm zur Zeit ihrer Entstehung gab. Insbesondere bei jungen Erlassen - wie dem vorliegenden - muss dem Willen des Gesetzgebers ein grosses Gewicht beigemessen werden, wobei eine Abgrenzung zur teleologischen Auslegung, die auf den Regelungszweck abstellt, wegen des erst vor kurzer Zeit in Kraft getretenen AuG in casu kaum möglich ist. Es gilt somit insgesamt, die mit der Norm verbundenen Zweckvorstellungen (die sog. ratio legis) zu ermitteln. Schon vor der parlamentarischen Beratung ist man davon ausgegangen, dass Art. 43 AuG grundsätzlich dem Art. 17 Abs. 2 ANAG entspricht (vgl. Botschaft des Bundesrates zum Bundesgesetz über die Ausländerinnen und Ausländer vom 8. März 2002, BBl 2002, S. 3793 ), was auf den ersten Blick dafür spricht, auch beim Beschwerdeführer 2, der zudem unmittelbar vor der Volljährigkeit steht, die im Zusammenhang mit der Familienzusammenführung zu einem Elternteil aufgestellten Restriktionen anzuwenden. Allerdings wird diese Auslegung schon durch das Wort "grundsätzlich" relativiert. Anlässlich der parlamentarischen Beratungen vom 7. Mai 2004 im Nationalrat kam verschiedentlich zum Ausdruck, dass der Nachzug der Kinder wegen besserer Integrationschancen möglichst früh erfolgen sollte (vgl. u.a. Antrag/Votum Nationalrat Philipp Müller, AB 2004 N 749, und Votum Nationalrätin Doris Leuthard, AB 2004 N 756). Dies führte dann zur definitiven Fassung, wonach Kinder unter zwölf Jahren Anspruch auf Erteilung der Niederlassungsbewilligung haben (Art. 43 Abs. 3 AuG) und Kinder über zwölf Jahre innerhalb von zwölf Monaten nachgezogen werden müssen (Art. 47 Abs. 1 Satz 2 AuG). Beim Beschwerdeführer 2, der anlässlich des Nachzugsgesuchs vom Januar 2008 schon über 16 Jahre alt war, kann von einem möglichst frühen Nachzug und einer damit verbundenen erleichterten Integration nicht die Rede sein. Offenbar wurden solche Fälle mit der Übergangsregelung von Art. 126 Abs. 3 AuG aber bewusst in Kauf genommen. Im Übrigen dürften Konstellationen wie die vorliegende wegen der Übergangsregelung nur vereinzelt vorkommen.</w:t>
      </w:r>
    </w:p>
    <w:p>
      <w:r>
        <w:rPr>
          <w:b/>
        </w:rPr>
        <w:t>E. 9.2</w:t>
      </w:r>
    </w:p>
    <w:p>
      <w:r>
        <w:t>Unter Berücksichtigung sämtlicher Auslegungsmethoden ist somit zusammenfassend festzuhalten, dass der Anspruch auf Familiennachzug von Kindern nach Art. 43 Abs. 1 AuG für Familien mit nur einem Elternteil in gleicher Weise gilt wie für den Nachzug zu Familien mit gemeinsamen Eltern. Demzufolge ist in casu nicht zu prüfen, ob der Beschwerdeführer 2 auch die Voraussetzungen für einen Familiennachzug unter Einbezug der altrechtlichen, vom Bundesgericht herausgearbeiteten Kriterien, welche beim nachträglichen Familiennachzug gemäss Art. 47 Abs. 4 AuG nach wie vor zur Anwendung gelangen ("wichtige familiäre Gründe"), erfüllt. Mit der Bejahung des Anspruchs gestützt auf Art. 43 Abs. 1 AuG erübrigt sich ferner die Prüfung der Frage, ob sich die Beschwerdeführer diesbezüglich auch auf Art. 8 Ziff. 1 EMRK sowie Art. 13 Abs. 1 BV berufen könnten.</w:t>
      </w:r>
    </w:p>
    <w:p>
      <w:r>
        <w:rPr>
          <w:b/>
        </w:rPr>
        <w:t>E. 10</w:t>
      </w:r>
    </w:p>
    <w:p>
      <w:r>
        <w:t>Aus den vorstehenden Erwägungen ergibt sich, dass die angefochtene Verfügung Bundesrecht verletzt (Art. 49 Bst. a VwVG). Die Beschwerde ist demnach gutzuheissen. Die angefochtene Verfügung ist aufzuheben und der in Aussicht gestellten Aufenthaltsbewilligung (Familiennachzug) für den Beschwerdeführer 2 durch den Kanton Zürich ist die Zustimmung zu erteilen.</w:t>
      </w:r>
    </w:p>
    <w:p>
      <w:r>
        <w:rPr>
          <w:b/>
        </w:rPr>
        <w:t>E. 11</w:t>
      </w:r>
    </w:p>
    <w:p>
      <w:r>
        <w:t>Bei diesem Ausgang des Verfahrens sind keine Kosten aufzuerlegen (Art. 63 Abs. 1 und 2 VwVG) und der geleistete Kostenvorschuss ist zurückzuerstatten. Ferner ist den obsiegenden Beschwerdeführern eine Parteientschädigung auszurichten (Art. 64 Abs. 1 VwVG i.V.m. Art. 7 ff.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