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C-237/2006 vom 7. November 2008</w:t>
      </w:r>
    </w:p>
    <w:p>
      <w:r>
        <w:t>Bundesverwaltungsgericht, 2008-11-07, FR</w:t>
      </w:r>
    </w:p>
    <w:p>
      <w:r>
        <w:rPr>
          <w:b/>
        </w:rPr>
        <w:t xml:space="preserve">Quelle: </w:t>
      </w:r>
      <w:r>
        <w:t>https://mcp.opencaselaw.ch/entscheid/bvger_C-237_2006</w:t>
      </w:r>
    </w:p>
    <w:p>
      <w:r>
        <w:t>FR: TAF C-237/2006 du 7 novembre 2008</w:t>
      </w:r>
    </w:p>
    <w:p>
      <w:r>
        <w:t>IT: TAF C-237/2006 del 7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Les recours pendants devant les commissions fédérales de recours ou d'arbitrage ou devant les services de recours des départements au 1er janvier 2007 sont traités par le Tribunal (dans la mesure où il est compétent) selon le nouveau droit de procédure (cf. art. 53 al. 2 phr.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telle que l'OLE (cf. art. 91 de l'ordonnance du 24 octobre 2007 relative à l'admission, au séjour et à l'exercice d'une activité lucrative [OASA, RS 142.201]).</w:t>
      </w:r>
    </w:p>
    <w:p>
      <w:r>
        <w:rPr>
          <w:b/>
        </w:rPr>
        <w:t>E. 1.4</w:t>
      </w:r>
    </w:p>
    <w:p>
      <w:r>
        <w:t>Dès lors que la demande qui est l'objet de la présente procédure de recours a été déposée avant l'entrée en vigueur de la LEtr, l'ancien droit matériel demeure applicable à la présente cause, conformément à la réglementation transitoire de l'art. 126 al. 1 LEtr. En revanche, la procédure est régie par le nouveau droit (cf. art. 126 al. 2 LEtr).</w:t>
      </w:r>
    </w:p>
    <w:p>
      <w:r>
        <w:rPr>
          <w:b/>
        </w:rPr>
        <w:t>E. 1.5</w:t>
      </w:r>
    </w:p>
    <w:p>
      <w:r>
        <w:t>M._______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le Tribunal n'est pas lié par les motifs invoqués à l'appui du recours. Aussi peut-il admettre ou rejeter le pourvoi pour d'autres motifs que ceux invoqués. Dans sa décision, il prend en considération l'état de fait et, sous réserve du considérant 1.4 ci-dessus, de droit régnant au moment où il statue (cf. arrêt du Tribunal fédéral 2A.451/2002 du 28 mars 2003 consid. 1.2, partiellement publié in ATF 129 II 215).</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les art. 18 al. 4 et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 195s., jurisprudence et doctrine citées).</w:t>
      </w:r>
    </w:p>
    <w:p>
      <w:r>
        <w:rPr>
          <w:b/>
        </w:rPr>
        <w:t>E. 4.3</w:t>
      </w:r>
    </w:p>
    <w:p>
      <w:r>
        <w:t>Le Tribunal fédéral a précisé que les séjours illégaux et précaires n'étaient pas déterminants pour la reconnaissance d'un cas personnel d'extrême gravité au sens de l'art. 13 let. f OLE.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2007/16 consid. 5.4 p. 196s., ATAF 2007/44 consid. 5.2 p. 581 et la jurisprudence citée).</w:t>
      </w:r>
    </w:p>
    <w:p>
      <w:r>
        <w:rPr>
          <w:b/>
        </w:rPr>
        <w:t>E. 5.1</w:t>
      </w:r>
    </w:p>
    <w:p>
      <w:r>
        <w:t>Il sied dans un premier temps d'observer que la durée du séjour en Suisse du recourant est brève. M.________ a résidé dans ce pays de manière légale d'août 2001 à mai 2004, soit trois années. Depuis novembre 2005, son séjour est toléré par les autorités cantonales mais il ne bénéficie pas d'une autorisation entrée en force. Il apparaît dès lors que ce premier élément ne saurait suffire, et de loin pas, à faire admettre que le recourant se trouve dans un cas de rigueur.</w:t>
      </w:r>
    </w:p>
    <w:p>
      <w:r>
        <w:rPr>
          <w:b/>
        </w:rPr>
        <w:t>E. 5.2</w:t>
      </w:r>
    </w:p>
    <w:p>
      <w:r>
        <w:t>Cela étant, il convient d'examiner les critères d'évaluation qui, autres que la seule durée du séjour en Suisse, pourraient rendre le retour du recourant dans son pays d'origine particulièrement difficile. 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6.1</w:t>
      </w:r>
    </w:p>
    <w:p>
      <w:r>
        <w:t>En ce qui concerne l'intégration socio-professionnelle de l'intéressé, force est de constater que, comparée à celle de la moyenne des étrangers présents en Suisse depuis un laps de temps identique, elle est tout à fait remarquable. Le recourant a effectué un apprentissage de maçon dans lequel il a obtenu de bonnes notes. Figurent de plus au dossier plusieurs courriers très élogieux de son employeur. M._______ a toutefois échoué à l'examen final et avait de mauvais résultats en pratique lors de son dernier semestre. Le recourant a par ailleurs une amie en Suisse, ainsi que de nombreuses connaissances. En dépit des éléments qui précèdent, on ne saurait considérer que cette intégration, ainsi que les connaissances acquises, l'évolution professionnelle et les liens créés avec la Suisse seraient à ce point exceptionnels qu'ils justifieraient une exception aux mesures de limitation. Au contraire, le recourant pourra aisément mettre en valeur les compétences développées en Suisse lors de son retour dans son pays d'origine et pourra se reconstituer un cercle d'amis (cf. également consid. 6.2 infra).</w:t>
      </w:r>
    </w:p>
    <w:p>
      <w:r>
        <w:rPr>
          <w:b/>
        </w:rPr>
        <w:t>E. 6.2</w:t>
      </w:r>
    </w:p>
    <w:p>
      <w:r>
        <w:t>Le recourant a vécu dans son pays d'origine une bonne partie de ses années d'adolescence, déterminantes pour la formation de la personnalité et le développement personnel, scolaire et professionnel, et qui entraînent une intégration accrue dans un milieu déterminé (cf. ATF 123 II 125 consid. 4, ALAIN WURZBURGER, La jurisprudence récente du Tribunal fédéral en matière de police des étrangers, RDAF I 1997, p. 297/298). Il a en effet quitté le Brésil à l'âge de quinze ans, puis y est retourné dix-huit mois entre mai 2004 et novembre 2005. Il y a ainsi suivi la quasi-totalité de sa scolarité obligatoire et il est patent qu'il y conserve toutes ses racines, ainsi que des connaissances et des amis, dans la mesure également où il ne se trouve à nouveau en Suisse que depuis trois ans. Il n'a séjourné dans ce pays que de quinze à dix-huit ans, puis de dix-neuf ans et demi jusqu'à maintenant, période finalement restreinte et dont l'influence sur sa personnalité a été moindre, au regard de l'ensemble de son parcours.</w:t>
      </w:r>
    </w:p>
    <w:p>
      <w:r>
        <w:rPr>
          <w:b/>
        </w:rPr>
        <w:t>E. 6.3</w:t>
      </w:r>
    </w:p>
    <w:p>
      <w:r>
        <w:t>Il s'impose également de relever que les motifs exacts du premier retour du recourant au Brésil, dont les déclarations à cet égard n'ont pas été constantes, ne ressortent pas clairement du dossier. Quoi qu'il en soit, même si le recourant n'a fait que suivre les consignes de ses parents en agissant ainsi, il ne s'agit pas là d'une circonstance exceptionnelle justifiant à elle seule une exemption aux mesures de limitation (cf. dans ce sens arrêt du Tribunal fédéral 2A.300/2002 du 20 juin 2002 consid. 2.2).</w:t>
      </w:r>
    </w:p>
    <w:p>
      <w:r>
        <w:rPr>
          <w:b/>
        </w:rPr>
        <w:t>E. 6.4</w:t>
      </w:r>
    </w:p>
    <w:p>
      <w:r>
        <w:t>Le Tribunal est conscient que le recourant connaîtra des difficultés non négligeables à se réinstaller dans son pays d'origine. Sa mère et sa soeur résident en Suisse et son père a manifestement quitté le Brésil, de telle sorte qu'il ne pourra guère compter sur l'aide de proches une fois de retour. Il apparaît toutefois que le recourant s'est émancipé du giron familial, disposant apparemment de son propre appartement et s'assumant de manière autonome à tous points de vue. Aujourd'hui âgé de vingt-deux ans, soit quatre ans et demi de plus qu'au moment de son premier retour au Brésil, en parfaite santé et faisant preuve de grandes facultés d'adaptation, comme il le relève lui-même, il devrait être en mesure de surmonter ces difficultés initiales. Quant aux problèmes psychiques allégués par le recourant, ils ne sont pas corroborés par les éléments au dossier et en tout état de cause, à l'instar de l'autorité inférieure, il convient d'admettre qu'il n'est pas démontré que l'éventuel traitement nécessaire ne serait pas disponible au Brésil.</w:t>
      </w:r>
    </w:p>
    <w:p>
      <w:r>
        <w:rPr>
          <w:b/>
        </w:rPr>
        <w:t>E. 7</w:t>
      </w:r>
    </w:p>
    <w:p>
      <w:r>
        <w:t>Au vu de l'ensemble des circonstances, il apparaît que le retour du recourant dans son pays d'origine n'aurait pas pour lui des conséquences particulièrement dures et rigoureuses, qui feraient de sa situation un cas d'extrême gravité. Il s'ensuit que la décision attaquée ne viole pas le droit fédéral; elle n'est pas inopportune (cf. art. 49 PA) et doit être maintenue. Le recours, mal fondé, doit être rejeté.</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