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C-2368/2006 vom 26. März 2007</w:t>
      </w:r>
    </w:p>
    <w:p>
      <w:r>
        <w:t>Bundesverwaltungsgericht, 2007-03-26, DE</w:t>
      </w:r>
    </w:p>
    <w:p>
      <w:r>
        <w:rPr>
          <w:b/>
        </w:rPr>
        <w:t xml:space="preserve">Quelle: </w:t>
      </w:r>
      <w:r>
        <w:t>https://mcp.opencaselaw.ch/entscheid/bvger_C-2368_2006</w:t>
      </w:r>
    </w:p>
    <w:p>
      <w:r>
        <w:t>FR: TAF C-2368/2006 du 26 mars 2007</w:t>
      </w:r>
    </w:p>
    <w:p>
      <w:r>
        <w:t>IT: TAF C-2368/2006 del 26 marzo 2007</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1.3</w:t>
      </w:r>
    </w:p>
    <w:p>
      <w:r>
        <w:t>Anfechtungsgegenstand des vorliegenden Verfahrens ist die "Neue Verfügung" des Amtes für Sozialversicherung und Stiftungsaufsicht des Kantons Bern vom 20. Mai 2005, welche ohne Zweifel eine Verfügung im Sinne von Art. 5 VwVG darstellt, auch wenn sie nach dem besonderen, verwaltungsinternen Einspracheverfahren gemäss Art. 29 der kantonalbernischen Verordnung betreffend die Aufsicht über die Stiftungen und die Vorsorgeeinrichtungen vom 10. November 1993 (StiV, BSG 212.223.1) ergangen ist. Die Beschwerde ist frist- und formgerecht eingegangen (Art. 50 und 52 VwVG). Nachdem die Beschwerdeführerin an der Änderung oder Aufhebung der angefochtenen Verfügung ein schutzwürdiges Interesse hat (Art. 48 VwVG) und ferner der verlangte Kostenvorschuss eingezahlt worden ist, ist auf das erhobene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 die Vorinstanz mittels des hier angefochtenen Entscheides nicht als Beschwerdeinstanz entschieden hat, erstreckt sich der Überprüfungsrahmen auf den angeführten Umfang.</w:t>
      </w:r>
    </w:p>
    <w:p>
      <w:r>
        <w:rPr>
          <w:b/>
        </w:rPr>
        <w:t>E. 2.2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Erw. 2 mit Hinweisen). Ermessensüberschreitung liegt vor, wenn die Behörden Ermessen ausüben, wo das Gesetz kein oder nur ein geringeres Ermessen einräumt. Im Gegensatz dazu spricht man von einer Ermessensunterschreitung, wenn sich die Behörde als gebunden erachtet, obwohl ihr das Gesetz einen Ermessensspielraum einräumt (KÖLZ/HÄNER, Verwaltungsverfahren und Verwaltungsrechtspflege des Bundes, 2. Aufl., Zürich 1998, Rz 627).</w:t>
      </w:r>
    </w:p>
    <w:p>
      <w:r>
        <w:rPr>
          <w:b/>
        </w:rPr>
        <w:t>E. 3.1</w:t>
      </w:r>
    </w:p>
    <w:p>
      <w:r>
        <w:t>Gemäss Art. 62 Abs. 1 BVG wacht die Aufsichtsbehörde darüber, dass die Vorsorgeeinrichtung die gesetzlichen Vorschriften einhält,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Gemäss Art. 62 Abs. 1 lit. d BVG trifft die Aufsichtsbehörde die Massnahmen zur Behebung von Mängeln.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Bei den präventiven Aufsichtsmitteln ist eine Teilnahme an der Willensbildung der Verwaltungsorgane begrifflich nicht vorausgesetzt. Eine allgemeine und voraussetzungslose Einflussnahme bereits auf das Zustandekommen von Entscheiden und Handlungen der Vorsorgeeinrichtungen sowie die voraussetzungslose und allgemeine Beschränkung der Verfügung über deren Vermögen sind verboten. Die Willensbildung der Vorsorgeeinrichtung ist vielmehr Sache der Vorsorgeeinrichtung bzw. deren Organe. Aufsichtsmittel, die bereits das Zustandekommen von Handlungen der Vorsorgeeinrichtung unmittelbar beeinflussen oder sich gar an diesen beteiligen, verletzen den verwaltungsrechtlichen Grundsatz der Verhältnismässigkeit und bei Vorsorgeeinrichtungen, insbesondere bei jenen in der Rechtsform der Stiftung das von der Privatautonomie abgeleitete Prinzip der Stifterfreiheit (Isabelle Vetter-Schreiber, Staatliche Haftung bei mangelhafter BVG-Aufsichtstätigkeit, Zürich 1996, S. 61 f.; Christina Ruggli, Die behördliche Aufsicht über Vorsorgeeinrichtungen, Basel 1992, S. 62 f.).</w:t>
      </w:r>
    </w:p>
    <w:p>
      <w:r>
        <w:rPr>
          <w:b/>
        </w:rPr>
        <w:t>E. 3.2</w:t>
      </w:r>
    </w:p>
    <w:p>
      <w:r>
        <w:t>Als repressive Aufsichtsmittel kommen unter anderem in Frage, die Mahnung pflichtvergessener Organe, das Erteilen von Weisungen oder Auflagen, soweit die Vorsorgeeinrichtung keinen Ermessensspielraum hat, die Aufhebung und Änderung von Entscheiden oder Erlassen der Stiftungsorgane, wenn und soweit diese gesetzes- oder urkundenwidrig sind, die Abberufung und Neueinsetzung von Stiftungsorganen und Liquidatoren, die Ersatzvornahme durch Dritte auf Kosten der Stiftung oder die Einsetzung eines Beistandes oder eines interimistischen Stiftungsrates unter gleichzeitiger Enthebung des ordentlichen Stiftungsrates (Isabelle Vetter-Schreiber, a.a.O., S. 63 ff.; Christina Ruggli, a.a.O., S. 111 ff.).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Bern 2000, S. 556).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(Merkli/Aeschlimann/Herzog, Kommentar zum bernischen VRPG, Bern 1997, N 24, 26 zu Art. 66 Abs. 1 VRPG).</w:t>
      </w:r>
    </w:p>
    <w:p>
      <w:r>
        <w:rPr>
          <w:b/>
        </w:rPr>
        <w:t>E. 4</w:t>
      </w:r>
    </w:p>
    <w:p>
      <w:r>
        <w:t>Die Vorinstanz führte in der angefochtenen Verfügung aus, die Beschwerdeführerin sei zur Erhaltung des Vorsorgezwecks unter anderem auch verpflichtet, Massnahmen zur Schadenminderung zu ergreifen, weshalb sie die Verantwortlichkeitsansprüche gerichtlich abklären lassen müsse. Sie wies die Ansicht der Beschwerdeführerin zurück, wonach die Geltendmachung von Verantwortlichkeitsansprüchen in ihrem Ermessen liege, in welches die Aufsichtsbehörde nicht einzugreifen habe. Vielmehr habe die Beschwerdeführerin ihr Ermessen dadurch unterschritten, dass sie keine Klage erhoben habe, was eine Rechtsverletzung darstelle. Die Vorsorgeeinrichtung sei im Gegensatz zu anderen Rechtsträgern des Privatrechts nicht befugt, frei über ihr Vermögen zu verfügen, sondern sei an den gesetzlich vorgeschriebenen Zweck der beruflichen Vorsorge gebunden. Sie sei deshalb verpflichtet, verantwortlichkeitsrechtliche Ansprüche geltend zu machen, solange ein Verantwortlichkeitsprozess nicht offensichtlich aussichtslos sei. Das Ermessen der Vorsorgeeinrichtung beschränke sich auf die einzuklagende Summe und die Bestimmung der einzuklagenden Personen. Die Aufsichtsbehörde vertritt denn auch den Standpunkt, im vorliegenden Fall sei eine Klage nicht offensichtlich aussichtslos. Demgegenüber vertritt die Beschwerdeführerin die Ansicht, die Aufsicht über die Vorsorgeeinrichtungen sei gemäss Art. 62 Abs. 1 BVG inhaltlich als Rechtsaufsicht konzipiert. Die Stiftungsaufsicht komme nicht einer Vormundschaft gleich. Die Aufsichtsbehörde dürfe bloss im Falle des Ermessensmissbrauchs und der Ermessensüberschreitung bzw. - unterschreitung eingreifen. Ein Emessensfehler im genannten Sinne liege hingegen nicht vor. Denn ihr könne nicht vorgeworfen werden, sie habe sich nicht mit den besonderen Umständen des Falles auseinandergesetzt. Vielmehr habe sie sich sehr eingehend mit der Frage befasst, ob ein Verantwortlichkeitsprozess geführt werden soll oder nicht. Sie habe mithin ihr zustehendes Ermessen ausgeübt, und zwar in sachgerechter Weise. Im Übrigen verletze die Ansicht, es müsse ein nicht ganz aussichtsloser Prozess geführt werden, die gesetzliche Ordnung, gemäss welcher die Vorsorgeeinrichtung zu ihrem Vermögen Sorge tragen müsse.</w:t>
      </w:r>
    </w:p>
    <w:p>
      <w:r>
        <w:rPr>
          <w:b/>
        </w:rPr>
        <w:t>E. 5.1</w:t>
      </w:r>
    </w:p>
    <w:p>
      <w:r>
        <w:t>In der hier zu beurteilenden Sache sind mit Blick auf die ab 1989 bis 2003 durch die Beschwerdeführerin getätigten Anlagegeschäfte diverse Untersuchungen durchgeführt und Berichte sowie Gutachten erstellt worden. So erging im Rahmen einer Sonderprüfung durch die Finanzkontrolle des Kantons Bern der Bericht über die Bernische Lehrerversicherungskasse vom 19. Mai 2004. Ferner liegt der Bericht der Parlamentarischen Untersuchungskommission (PUK) vom 18. August 2005 vor; wobei der PUK-Bericht erst nach dem Erlass der hier zu beurteilenden Verfügung ergangen ist. Es kann folglich gesagt werden, dass der einer allfälligen Schadenersatzklage zu Grunde liegende Sachverhalt ausführlich und eingehend erhoben worden ist. Zwischen der Aufsichtsbehörde und der Beschwerdeführerin bestehen jedoch unterschiedliche Ansichten darüber, ob mit Blick auf den erhobenen Sachverhalt es auch geboten ist, eine Schadenersatzklage anzuheben. Nachdem eine Schadenersatzklage mit hohen Kosten verbunden ist, steht fest, dass die Beschwerdeführerin im Sinne der von ihr verlangten sorgfältigen Vermögensführung verpflichtet war, in umfassender Weise abzuwägen, ob sie das Risiko eines kostenträchtigen Prozesses auf sich nehmen will. Es ist daher von ihr zunächst eine sorgfältige und umfassende Erhebung der Gründe zu fordern, die für oder gegen eine Klageanhebung sprechen. Da feststeht, dass erhebliche Millionenbeträge zur Diskussion stehen und sich ein komplexer Sachverhalt präsentiert, waren die Anforderungen an die diesbezüglichen Abklärungen hoch. Richtigerweise hat die Beschwerdeführerin hierfür externen rechtlichen Rat beigezogen. Sie liess denn auch durch zwei erfahrene und ausgewiesene Juristen Gutachten darüber erstellen, ob eine Schadenersatzklage als erfolgversprechend zu bewerten sei. Mit diesem Vorgehen ist die Beschwerdeführerin sorgfältig und mit Umsicht vorgegangen. Es ist denn auch nicht erkennbar, inwiefern zusätzliche Abklärungen von Nöten gewesen wären. Als Zwischenergebnis kann somit festgehalten werden, dass die Beschwerdeführerin in sorgfältiger und umfassender Weise die Erfolgsaussichten einer Schadenersatzklage abgeklärt hat. In dieser Hinsicht bestand kein Anlass, aufsichtsrechtlich einzugreifen.</w:t>
      </w:r>
    </w:p>
    <w:p>
      <w:r>
        <w:rPr>
          <w:b/>
        </w:rPr>
        <w:t>E. 5.2</w:t>
      </w:r>
    </w:p>
    <w:p>
      <w:r>
        <w:t>Es stellt sich nun die Frage, ob mit Blick auf die Ergebnisse der Gutachter und der übrigen Abklärungsberichte der Entscheid der Beschwerdeführerin, keine Klage zu erheben, gesetzmässig war bzw. ob sie ihr Ermessen unter- oder überschritten hat, respektive missbräuchlich gehandhabt hat, indem sie auf eine Klageanhebung verzichtet hat. Vorweg ist jedoch festzuhalten, dass es nicht Sache des Bundesverwaltungsgerichtes ist, der Frage nachzugehen, wie hoch die Erfolgsaussichten einer Klage zu bewerten sind. Es ist allein zu prüfen, ob die Beschwerdeführerin das Für und das Wider einer Klage rechtskonform abgewogen hat. Die Vorinstanz vertritt die Ansicht, diesbezüglich stehe der Beschwerdeführerin kein Ermessen zu. Sie habe jedenfalls dann eine Klage zu erheben, falls nicht deren offensichtliche Aussichtslosigkeit feststehe. Damit wirft sie ihr aber eigentlich eine Überschreitung des Ermessens vor. Dieser Ansicht kann nicht gefolgt werden. Es ist nicht ersichtlich, gestützt auf welche Grundlage das Ermessen der Beschwerdeführerin, eine Klage zu erheben, derart eingeschränkt sein soll, als sie bloss dann von einer solchen absehen könnte, falls diese offensichtlich aussichtslos wäre. Das von der Vorinstanz ins Feld geführte Argument der zweckgemässen Verwendung der Vorsorgegelder spricht jedenfalls nicht dafür, dass Vorsorgeeinrichtungen verhalten wären, aussichtslose Prozesse zu führen. Da Prozessniederlagen mit erheblichen Kosten für die klagende Partei einhergehen können, stünde ein solches Vorgehen in offenem Widerspruch zur Verpflichtung der Kasse, ihr Vermögen sorgfältig und zweckgemäss zu verwalten und zu verwenden. Wenn die Verwirklichung eines Schadens (Prozesskosten) als wesentlich höher einzustufen ist als die Verwirklichung eines Gewinns (Ersatz für zugefügten Schaden), so wird eine verantwortungsbewusste Pensionskassenverwaltung eher danach trachten, den wahrscheinlichen Schaden zu vermeiden als nach dem unwahrscheinlichen Gewinn zu streben, ansonsten sie sich dem Vorwurf der Unsorgfalt aussetzen würde. Indem die Vorinstanz der Beschwerdeführerin insofern ein eingeschränktes Ermessen zubilligen will, als sie nur dann keine Pflicht zur Klageanhebung erkennt, falls eine solche offensichtlich aussichtslos ist, so nimmt sie in Kauf, dass mit Bezug auf die Vermeidung von Prozessverlusten ein weniger strenger Sorgfaltsmassstab gilt, als dies beispielsweise bei der Vermeidung von Anlageverlusten der Fall ist. Der von der Vorinstanz vorgegebene Massstab kann jedoch weder im Rahmen einer Klageerhebung noch sonst für das Handeln einer Vorsorgeeinrichtung gelten. Gerade der vorliegende Fall zeigt, dass mit Blick auf erwartete bzw. erhoffte hohe Gewinne, oft hohe Risiken eingegangen worden sind. Rückblickend betrachtet hat sich mitunter erwiesen, dass die Chancen der Realisierung dieser Gewinne wesentlich kleiner waren als die Verwirklichung der Verluste. Es kann nun nicht angehen, dass die Beschwerdeführerin zur Anhebung einer Klage verpflichtet wird, obwohl sie in sorgfältiger und ausführlicher Abwägung zum Schluss gelangt ist, eine solche sei aussichtslos. Es ist denn auch nicht denkbar, dass die Beschwerdeführerin aufgrund der von ihr gemachten Erfahrungen Vermögensanlagen tätigen würde, bei welchen sie überzeugt wäre, dass die Verwirklichung eines Verlustes wesentlich höher ist, als die Erzielung eines Gewinnes. Sie würde sich hierbei unabsehbarer Kritik aussetzen. Gleiches muss mit Bezug auf die Anhebung einer Klage mit Kostenrisiko gelten, da es auch hier um die Verwendung von Vorsorgegeldern geht. Es ergibt sich daher, dass auf die Beantwortung der Frage, ob eine Klage mit Kostenrisiko anzuheben ist, kein geringerer Sorgfaltsmassstab anzulegen ist, als dies für den Entscheid über Vermögensanlagen gilt. Somit ist festzuhalten, dass es Sache der Vorsorgeeinrichtung ist, auf der Basis einer sorgfältigen Risikoabwägung zu entscheiden, ob sie eine Klage einreichen will oder nicht. Hierbei unterliegt sie keinem eingeschränkten Ermessen (vgl. Urteil der Eidg. Beschwerdekommission BVG vom 27. November 2003, BKBVG 860/01, Erwägung 9). Denn beim diesbezüglichen Entscheid handeln die Organe der Vorsorgeeinrichtung im Rahmen ihrer Kompetenz und Verantwortung. Die Aufsichtsbehörde kann denn auch nicht ihr Ermessen an die Stelle desjenigen der Organe der Vorsorgeeinrichtung setzen. Es gilt jedoch, dass der Verzicht auf eine Klageanhebung auf nachvollziehbaren und überzeugenden Gründen beruhen muss.</w:t>
      </w:r>
    </w:p>
    <w:p>
      <w:r>
        <w:rPr>
          <w:b/>
        </w:rPr>
        <w:t>E. 5.3</w:t>
      </w:r>
    </w:p>
    <w:p>
      <w:r>
        <w:t>Dies ist vorliegend der Fall. Die von Dr. Jost und Prof. Walter erstellten Gutachten sind ausführlich und wohl begründet ausgefallen. Beide Gutachter sind einhellig zum Schluss gelangt, dass einer Schadenersatzklage wenig Erfolg beschieden sei. Sie erachten die Erfolgsaussichten als schlecht. Dieser gutachterliche Schluss basiert auf der Kenntnis des rechtserheblichen Sachverhaltes und der detailliert begründeten Vortragung der sich daraus ergebenden rechtlichen Konsequenzen. Dass die Beschwerdeführerin auf der Basis der ihr vorliegenden Unterlagen einen sachlich nachvollziehbaren Entscheid getroffen hat, ergibt sich auch aus dem PUK-Bericht vom 18. August 2005. Darin ist festgehalten worden, dass der Entscheid der Verwaltungskommission der Beschwerdeführerin, keinen Prozess anzuheben, aufgrund der vorliegenden Rechtsgutachten verständlich sei (S. 293 des Berichtes). Die Beschwerdeführerin konnte insgesamt in guten Treuen davon ausgehen, dass die Gewinnaussichten einer Klage gering sind und entsprechend ein hohes Kostenrisiko besteht. Dass sie unter diesen Umständen nicht bereit war, das Kostenrisiko einzugehen, erscheint als nachvollziehbar und ist damit nicht zu beanstanden. Sie hat demnach ihr Ermessen rechtskonform ausgeübt und ihren Entscheid plausibel und schlüssig begründet. Somit kann sie durch die Aufsichtsbehörde nicht verhalten werden, einen kostenpflichtigen Prozess zu führen. Es ist kein Mangel ersichtlich, welcher das Eingreifen der Aufsichtsbehörde gerechtfertigt hätte.</w:t>
      </w:r>
    </w:p>
    <w:p>
      <w:r>
        <w:rPr>
          <w:b/>
        </w:rPr>
        <w:t>E. 6.1</w:t>
      </w:r>
    </w:p>
    <w:p>
      <w:r>
        <w:t>Nachdem die Vorinstanz mittels des angefochtenen Entscheides zu Unrecht in das Ermessen der Beschwerdeführerin eingegriffen hat, hat sie Bundesrecht verletzt. Demgemäss ist die Beschwerde gegen die Verfügung des Amtes für Sozialversicherung und Stiftungsaufsicht des Kantons Bern vom 20. Mai 2005 gutzuheissen und die angefochtene Verfügung ist aufzuheben.</w:t>
      </w:r>
    </w:p>
    <w:p>
      <w:r>
        <w:rPr>
          <w:b/>
        </w:rPr>
        <w:t>E. 6.2</w:t>
      </w:r>
    </w:p>
    <w:p>
      <w:r>
        <w:t>Gemäss Art. 64 Abs. 1 VwVG in Verbindung mit Art. 7 des Reglements vom 11. Dezember 2006 über die Kosten und Entschädigungen vor dem Bundesverwaltungsgericht (VGKE, SR 173.320.2) sowie Art. 6 des Tarifs über die Entschädigungen an die Gegenpartei für das Verfahren vor dem Bundesgericht (SR 173.119.1) kann die Beschwerdeinstanz der ganz oder teilweise obsiegenden, hier anwaltlich vertretenen Partei von Amtes wegen oder auf Begehren eine Entschädigung für ihr erwachsene notwendige und verhältnismässig hohe Kosten zusprechen. Gemäss Art. 4 Abs. 1 des bundesgerichtlichen Tarifs wird das Honorar im Rahmen des vorgesehenen Höchst- und Mindestbetrages nach der Wichtigkeit der Streitsache sowie dem Umfang der Arbeitsleistung und dem Zeitaufwand des Vertreters bemessen. Lässt sich der Streitwert, wie vorliegend, ziffernmässig nicht bestimmen, so wird das Honorar unter Berücksichtigung der genannten Elemente frei bestimmt. In der hier zu beurteilenden Sache erweist sich eine Parteientschädigung von Fr. 5'000.-- als angemessen. Gemäss Art. 64 Abs. 2 VwVG kann die Entschädigung der Vorinstanz auferlegt werden, soweit sie nicht einer unterliegenden Gegenpartei auferlegt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