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C-2353/2013 vom 16. Dezember 2015</w:t>
      </w:r>
    </w:p>
    <w:p>
      <w:r>
        <w:t>Bundesverwaltungsgericht, 2015-12-16, IT</w:t>
      </w:r>
    </w:p>
    <w:p>
      <w:r>
        <w:rPr>
          <w:b/>
        </w:rPr>
        <w:t xml:space="preserve">Quelle: </w:t>
      </w:r>
      <w:r>
        <w:t>https://mcp.opencaselaw.ch/entscheid/bvger_C-2353_2013</w:t>
      </w:r>
    </w:p>
    <w:p>
      <w:r>
        <w:t>FR: TAF C-2353/2013 du 16 décembre 2015</w:t>
      </w:r>
    </w:p>
    <w:p>
      <w:r>
        <w:t>IT: TAF C-2353/2013 del 16 dicembre 2015</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rese dalla SEM - la quale costituisce un'unità dell'amministrazione federale come definita all'art. 33 lett. d LTAF - possono essere impugnate dinnanzi al Tribunale che nella presente fattispecie giudica quale autorità di grado inferiore al Tribunale federale (art. 1 cpv. 2 LTAF in relazione con l'art. 11 par. 1 e 3 ALC: cfr. sentenza del TF 2C_1092/2013 del 4 luglio 2014 consid. 1 con rinvii).</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Ai termini dell'art. 2 cpv. 3 LStr ai cittadini degli Stati membri della Comunità europea e ai loro familiari si applica l'ALC (RS 0.142.112.681); la LStr si applica solamente qualora l'ALC non contenga disposizioni derogatorie o qualora la LStr non preveda disposizioni più favorevoli.</w:t>
      </w:r>
    </w:p>
    <w:p>
      <w:r>
        <w:rPr>
          <w:b/>
        </w:rPr>
        <w:t>E. 3.2</w:t>
      </w:r>
    </w:p>
    <w:p>
      <w:r>
        <w:t>Giusta l'art. 3 par. 1 e 2 dell'allegato I all'ALC i membri della famiglia di un cittadino di una parte contraente avente un diritto di soggiorno hanno diritto di stabilirsi con esso. Sono considerati membri della famiglia, qualunque sia la loro cittadinanza, il coniuge e i loro discendenti minori di 21 anni o a carico. Inoltre ai sensi dell'art. 1 par. 1 dell'allegato I all'ALC (in relazione con l'art. 3 ALC) i cittadini comunitari ed i membri della loro famiglia sono ammessi nel territorio degli Stati membri dietro semplice presentazione di una carta d'identità o di un passaporto validi.</w:t>
      </w:r>
    </w:p>
    <w:p>
      <w:r>
        <w:rPr>
          <w:b/>
        </w:rPr>
        <w:t>E. 3.3</w:t>
      </w:r>
    </w:p>
    <w:p>
      <w:r>
        <w:t>Nel caso concreto, A._______ potrebbe in principio prevalersi di un diritto derivato ai sensi dell'ALC, essendo sua moglie e sua figlia cittadine comunitarie al beneficio di un permesso di dimora in Svizzera. Nondimeno, è opinione dello scrivente Tribunale che la questione dell'eventuale diritto derivato del ricorrente può rimanere aperta, in quanto dagli atti all'inserto non è possibile stabilire se ed in che misura il diritto originario di B._______ e di D._______ sia attualmente esercitato.</w:t>
      </w:r>
    </w:p>
    <w:p>
      <w:r>
        <w:rPr>
          <w:b/>
        </w:rPr>
        <w:t>E. 4.1</w:t>
      </w:r>
    </w:p>
    <w:p>
      <w:r>
        <w:t>A seguito dello sviluppo dell'acquis di Schengen, con effetto a decorrere dal 1° gennaio 2011, è stato modificato l'art. 67 LStr, il quale disciplina il divieto d'entrata (decreto federale che approva e traspone nel diritto elvetico lo scambio di note tra la Svizzera e la CE concernente il recepimento della direttiva CE sul rimpatrio [direttiva 208/115/CE] RU 2010 5925; Messaggio del Consiglio federale del 18 novembre 2009 concernente l'approvazione e la trasposizione dello scambio di note tra la Svizzera e la CE relativo al recepimento della direttiva della CE sul rimpatrio e concernente una modifica della legge federale sugli stranieri, FF 2009 pag. 7737 [di seguito: Messaggio LStr]).</w:t>
      </w:r>
    </w:p>
    <w:p>
      <w:r>
        <w:rPr>
          <w:b/>
        </w:rPr>
        <w:t>E. 4.2</w:t>
      </w:r>
    </w:p>
    <w:p>
      <w:r>
        <w:t>Conformemente a tale norma, la SEM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L'autorità a cui compete la decisione può, per motivi umanitari o altri motivi gravi, rinunciare a pronunciare un divieto d'entrata oppure sospenderlo definitivamente o temporaneamente (art. 67 cpv. 5 LStr).</w:t>
      </w:r>
    </w:p>
    <w:p>
      <w:r>
        <w:rPr>
          <w:b/>
        </w:rPr>
        <w:t>E. 4.3</w:t>
      </w:r>
    </w:p>
    <w:p>
      <w:r>
        <w:t>In merito alle nozioni di 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FF 2002 pag. 3424).</w:t>
      </w:r>
    </w:p>
    <w:p>
      <w:r>
        <w:rPr>
          <w:b/>
        </w:rPr>
        <w:t>E. 4.4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et. al., Migrationsrecht, 3a ed. 2012, ad art. 67 LStr, cifra 2).</w:t>
      </w:r>
    </w:p>
    <w:p>
      <w:r>
        <w:rPr>
          <w:b/>
        </w:rPr>
        <w:t>E. 5.1</w:t>
      </w:r>
    </w:p>
    <w:p>
      <w:r>
        <w:t>L'adozione di un provvedimento di ordine pubblico - come un divieto d'entrata -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(DTF 136 II 5 consid. 4.2; 134 II 25 consid. 4.3.2; 130 II 493 consid. 3.3 e riferimenti ivi citati).</w:t>
      </w:r>
    </w:p>
    <w:p>
      <w:r>
        <w:rPr>
          <w:b/>
        </w:rPr>
        <w:t>E. 5.2</w:t>
      </w:r>
    </w:p>
    <w:p>
      <w:r>
        <w:t>L'esame deve essere effettuato tenendo presente le garanzie derivanti dalla CEDU, così come il principio della proporzionalità (DTF 131 II 352 consid. 3.3; 130 II 493 consid. 3.3; 130 II 176 consid. 3.4.2 e giurisprudenza ivi citata; Zünd/Arquint Hill, Beendigung der Anwesenheit, Entfernung und Fernhaltung, in Uebersax et al. [ed.], Ausländerrecht, 2a ed, 2009, n. 8.80, pag. 356).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131 I 91 consid. 3.3).</w:t>
      </w:r>
    </w:p>
    <w:p>
      <w:r>
        <w:rPr>
          <w:b/>
        </w:rPr>
        <w:t>E. 6</w:t>
      </w:r>
    </w:p>
    <w:p>
      <w:r>
        <w:t>Giova rammentare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adempia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pag. 3428).</w:t>
      </w:r>
    </w:p>
    <w:p>
      <w:r>
        <w:rPr>
          <w:b/>
        </w:rPr>
        <w:t>E. 7.1</w:t>
      </w:r>
    </w:p>
    <w:p>
      <w:r>
        <w:t>Nella fattispecie che qui ci occupa, il ricorrente è stato condannato in più occasioni per diversi tipi di reati. Il 22 agosto 2006 è stato oggetto di una condanna ad una pena detentiva di 90 giorni, sospesa condizionalmente per un periodo di prova di quattro anni, per delitto e contravvenzione all'allora in vigore LDDS. Nel giugno 2012 è stato riconosciuto colpevole di grave infrazione alla LCStr; poche settimane dopo, e meglio il 3 agosto 2012 è invece stato condannato ad una pena pecuniaria non sospesa per infrazione alla LStup. In quest'occasione A._______ aveva importato in Svizzera un quantitativo pari a 1kg di marijuana. In data 17 settembre 2013 il ricorrente è stato condannato ad un'ulteriore pena pecuniaria non sospesa per i reati di danneggiamento, entrata illegale ed attività lucrativa senza autorizzazione. Il Tribunale costata come questi ultimi reati sono della stessa tipologia di quelli commessi nel 2006.</w:t>
      </w:r>
    </w:p>
    <w:p>
      <w:r>
        <w:rPr>
          <w:b/>
        </w:rPr>
        <w:t>E. 7.2</w:t>
      </w:r>
    </w:p>
    <w:p>
      <w:r>
        <w:t>Sebbene i comportamenti testé indicati siano stati sanzionati con pene relativamente miti, appare evidente che nell'intervallo di pochi anni A._______ ha ripetutamente dimostrato di incontrare non poche difficoltà nel rispettare le leggi elvetiche, recidivando in più occasioni in svariati tipi di delitti.</w:t>
      </w:r>
    </w:p>
    <w:p>
      <w:r>
        <w:rPr>
          <w:b/>
        </w:rPr>
        <w:t>E. 7.3</w:t>
      </w:r>
    </w:p>
    <w:p>
      <w:r>
        <w:t>Inoltre, ed in particolare per quanto concerne i reati di droga, è d'uopo rammentare che questi ultimi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alla sicurezza e all'ordine pubblico (cfr. sentenza del TF 2C_139/2013 dell'11 giugno 2013 consid. 6.2.3 e riferimenti ivi citati). Nella fattispecie, come precedentemente ricordato (cfr. consid. 7.1), A._______ è stato condannato in quanto ha importato in Svizzera 1kg di marijuana. A mente del Tribunale occorre considerare che, malgrado si tratti di un tipo di droga leggera, e che pertanto non può configurare sul piano penale un caso aggravato di messa in pericolo di numerose persone ai sensi dell'art. 19 cpv. 2 LStup (cfr. DTF 117 IV 318 consid. cc; 125 IV 93 consid. 3a; SJ 1992 pag. 93 consid. b), un tale quantitativo di sostanza stupefacente denota uno sforzo criminale di una certa importanza, che va oltre l'agire di un semplice «spacciatore di strada» (in questo senso cfr. ad esempio la sentenza del TAF C-2463/2013 del 7 maggio 2015 consid. 6.1). In effetti il guadagno potenziale legato ad un tale quantitativo di droga - benché leggera - è notevole. Infine, occorre rammentare che in casu la sostanza stupefacente è stata trasportata in Svizzera dall'estero (cfr. decreto d'accusa del Ministero pubblico del Cantone Ticino del 3 agosto 2012); questo fatto non può che confermare l'idea che il ricorrente non fosse un attore di secondo piano nei meccanismi del traffico di droga, e ciò a prescindere dalla condanna relativamente lieve inflittagli.</w:t>
      </w:r>
    </w:p>
    <w:p>
      <w:r>
        <w:rPr>
          <w:b/>
        </w:rPr>
        <w:t>E. 7.4</w:t>
      </w:r>
    </w:p>
    <w:p>
      <w:r>
        <w:t>I reati contro il patrimonio, al di là del manifesto interesse pubblico ad impedire atti illeciti, non riguardano comunque beni giuridici estrema-mente sensibili come la vita e l'integrità fisica, o altri crimini contro l'ordine e la sicurezza pubblici (DTF 131 II 352 consid. 4.3.1; 125 II 521 consid. 4a/4aa). A questo proposito un eventuale provvedimento amministrativo quale ad esempio un divieto d'entrata, fondato sui reati citati, appare giustificato soltanto a fronte di elementi concreti e precisi che permettono di formulare una prognosi negativa sulla condotta dell'interessato. Nel caso concreto il ricorrente è stato condannato per il reati di danneggiamento e minaccia. Il 22 agosto 2012 aveva danneggiato un'autovettura durante un alterco con un altro automobilista. Il 27 agosto 2013 una terza persona era stata vittima delle minacce proferite dal ricorrente. Detti comportamenti erano stati sanzionati - unitamente a violazioni della LStr per entrata illegale in Svizzera il 10 settembre 2013 ed attività lucrativa senza autorizzazione nel periodo compreso tra gennaio ed agosto 2012 - dal Ministero pubblico ticinese mediante decreto d'accusa del 17 settembre 2013.</w:t>
      </w:r>
    </w:p>
    <w:p>
      <w:r>
        <w:rPr>
          <w:b/>
        </w:rPr>
        <w:t>E. 7.5</w:t>
      </w:r>
    </w:p>
    <w:p>
      <w:r>
        <w:t>Ciò detto, ne discende che i reati di cui sopra possono portare all'emissione di un divieto d'entrata. Esso non deve essere tuttavia interpretato quale sanzione dal carattere penale bensì quale misura di protezione a carattere preventivo contro possibili turbative future (cfr. Messaggio LStr, FF 2002 pag. 3428).</w:t>
      </w:r>
    </w:p>
    <w:p>
      <w:r>
        <w:rPr>
          <w:b/>
        </w:rPr>
        <w:t>E. 8.1</w:t>
      </w:r>
    </w:p>
    <w:p>
      <w:r>
        <w:t>Occorre ora stabilire se i comportamenti tenuti in passato dal ricorrente configurino un caso di minaccia di una certa gravità per l'ordine e la sicurezza pubblici.</w:t>
      </w:r>
    </w:p>
    <w:p>
      <w:r>
        <w:rPr>
          <w:b/>
        </w:rPr>
        <w:t>E. 8.2</w:t>
      </w:r>
    </w:p>
    <w:p>
      <w:r>
        <w:t>A mente dello scrivente Tribunale, ed in considerazione di quanto testé espresso, la risposta ad un tale quesito non può essere che affermativa. Infatti la tipologia dei reati commessi - ed in particolare quelli legati al traffico di sostanze stupefacenti - il potenziale rischio di recidiva dimostrato da A._______, avendo egli delitto sull'arco di più anni, nonché la quasi endemica difficoltà nel rispettare le leggi svizzere, giustificano l'adozione di un provvedimento di allontanamento dal suolo elvetico.</w:t>
      </w:r>
    </w:p>
    <w:p>
      <w:r>
        <w:rPr>
          <w:b/>
        </w:rPr>
        <w:t>E. 9.1</w:t>
      </w:r>
    </w:p>
    <w:p>
      <w:r>
        <w:t>Nell'atto ricorsuale del 26 aprile 2013 A._______ ha asserito che in virtù delle condanne relativamente lievi inflittegli, egli non rappresenterebbe un pericolo per l'ordine e la sicurezza pubblici elvetici, in quanto il suo agire nel complesso non denota una «notevole determinazione criminale». Di conseguenza la misura adottata dall'allora UFM sarebbe lesiva del principio di equità (cfr. atto ricorsuale pag. 4).</w:t>
      </w:r>
    </w:p>
    <w:p>
      <w:r>
        <w:rPr>
          <w:b/>
        </w:rPr>
        <w:t>E. 9.2</w:t>
      </w:r>
    </w:p>
    <w:p>
      <w:r>
        <w:t>Il principio dell'uguaglianza di trattamento è ancorato all'art. 8 cpv. 1 Cost.; una decisione viola tale principio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Occorre che il trattamento differente - o simile - ingiustificato sia in relazione con una situazione di fatto importante.</w:t>
      </w:r>
    </w:p>
    <w:p>
      <w:r>
        <w:rPr>
          <w:b/>
        </w:rPr>
        <w:t>E. 9.3</w:t>
      </w:r>
    </w:p>
    <w:p>
      <w:r>
        <w:t>Questa argomentazione non è conferente in casu poiché sollevata in maniera generica, senza referenze chiare e motivazioni dettagliate. A._______ è pertanto venuto meno al suo dovere di sostenere e sostanziare le proprie affermazioni e di fornire le indicazioni necessarie al fine di permettere le verifiche delle sue argomentazioni (cfr. la sentenza del TF 2A.449/1999 del 10 gennaio 2000 consid. 4a/bb). La censura va quindi deserta e come tale respinta.</w:t>
      </w:r>
    </w:p>
    <w:p>
      <w:r>
        <w:rPr>
          <w:b/>
        </w:rPr>
        <w:t>E. 10</w:t>
      </w:r>
    </w:p>
    <w:p>
      <w:r>
        <w:t>L'art. 67 cpv. 3 2a frase LStr permette alla SEM di pronunciare un divieto d'entrata per una durata maggiore ai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 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11.1</w:t>
      </w:r>
    </w:p>
    <w:p>
      <w:r>
        <w:t>In casu - essendo in definitiva il provvedimento litigioso pronunciato per una durata di 6 anni, 2 mesi e 9 giorni - si tratta dunque di determinare quali siano le condizioni poste dall'autorità, a fondamento di un provvedimento di divieto d'entrata per una durata superiore a 5 anni; in altre parole definire i criteri sui quali detta autorità riconosce o meno l'esistenza del «grave pericolo per l'ordine e la sicurezza pubblici», giusta l'art. 67 cpv. 3 2a frase LStr.</w:t>
      </w:r>
    </w:p>
    <w:p>
      <w:r>
        <w:rPr>
          <w:b/>
        </w:rPr>
        <w:t>E. 11.2</w:t>
      </w:r>
    </w:p>
    <w:p>
      <w:r>
        <w:t>Occorrere dapprima stabilire se ad oggi il ricorrente rappresenti ancora una minaccia sufficientemente grave per l'ordine e la sicurezza pubblici.</w:t>
      </w:r>
    </w:p>
    <w:p>
      <w:r>
        <w:rPr>
          <w:b/>
        </w:rPr>
        <w:t>E. 11.3</w:t>
      </w:r>
    </w:p>
    <w:p>
      <w:r>
        <w:t>Al proposito e per i medesimi motivi esposti al consid. 8.2, il Tribunale ritiene che la minaccia costituita dal ricorrente per l'ordine e la sicurezza pubblici non sia soltanto grave, ma altresì attuale. A questo proposito occorre rammentare come A._______ si sia macchiato dei reati di danneggiamento, minaccia, entrata illegale posteriormente all'emanazione del provvedimento litigioso (cfr. decreto d'accusa del Ministero pubblico del Cantone Ticino del 17 settembre 2013 agli atti), divieto d'entrata di cui il ricorrente era perfettamente a conoscenza. Un tale modo di agire, sebbene risalga ormai al periodo agosto/settembre 2013, non può non indurre a pensare che la minaccia per l'ordine e la sicurezza pubblici sia ad oggi ancora attuale. Le rassicurazioni fornite dal ricorrente al proposito (cfr. scritto del 26 agosto 2015, atto TAF n. 31) non permettono al Tribunale di giungere a un diverso convincimento. A._______ si è invero astenuto anche solo dal menzionare quest'ultima condanna in occasione degli scambi di scritti intervenuti posteriormente alla stessa e nell'ambito di questo procedimento. Al proposito non giova al ricorrente prevalersi del fatto che la paternità gli avrebbe permesso di rendersi conto dei propri errori e di ravvedersi. Invero un comportamento rispettoso delle leggi non rappresenta nulla di eccezionale, ma al contrario è il minimo richiesto nel contesto di una società democratica fondata sullo Stato di diritto. 12.1 È ora necessario procedere ad un apprezzamento degli interessi privati e pubblici in gioco, e stabilire se la durata del provvedimento litigioso sia adeguata alle circostanze del caso di specie. 12.2 Quo all'interesse pubblico all'allontanamento del ricorrente dal territorio elvetico, si è già detto ai considerandi precedenti. 12.3 In merito agli interessi privati, il ricorrente si è richiamato principalmente all'art. 8 CEDU, il quale garantisce il diritto al rispetto della vita privata e familiare, sottolineando che la decisione dell'autorità inferiore comporterebbe l'impossibilità di sviluppare il rapporto famigliare con la moglie e la figlia, le quali sono al beneficio di un permesso di dimora in Svizzera. In altre parole il divieto d'entrata gli impedirebbe di poter intrattenere relazioni stabili con la moglie e la figlia, le quali risiedono in Ticino, luogo in cui si trova anche uno zio del ricorrente. Occorre dunque verificare se la decisione di divieto d'entrata attaccata è conforme a detta norma. 12.4 Come detto, l'art. 8 CEDU tutela la vita privata e familiare delle persone. Questa disposizione non garantisce tuttavia il diritto ad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 12.5 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 12.6 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nonché la giurisprudenza ivi citata concernente i permessi di soggiorno in Svizzera). 12.7 L'interessato si è prevalso del legame con la figlia e con la moglie, entrambe al beneficio di un titolo di soggiorno in Svizzera. Al proposito il Tribunale costata come dall'istruttoria non sia comunque emerso un legame affettivo particolarmente stretto. Al contrario nelle proprie allegazioni, il ricorrente si è limitato ad asserire che è proprio a causa del divieto d'entrata qui in esame, che dette relazioni sono difficoltose. Dette censure, di carattere meramente appellatorio non permettono al Tribunale di giungere ad altra conclusione che l'interesse pubblico all'allontanamento dell'interessato dal territorio della Confederazione prevalga su quello privato a potervi entrare. Come poc'anzi rilevato, A._______ si è reso protagonista in Svizzera di diverse infrazioni contro beni giuridici alquanto sensibili. 12.8 Di transenna si ribadisce che il divieto d'entrata oggetto del presente litigio - di cui A._______ era perfettamente a conoscenza - non abbia in passato dissuaso il ricorrente dall'entrare in Svizzera e commettervi reati. L'allegazione secondo cui lo stesso si sarebbe ravveduto dei propri comportamenti, proprio grazie alla paternità, non è conferente e non permette allo scrivente Tribunale di modificare il proprio apprezzamento al riguardo. Inoltre appare per lo meno curioso che durante l'istruttoria l'interessato si sia dimostrato quantomeno restio a fornire informazioni in merito alla propria situazione abitativa (vivendo de facto a pochi chilometri dalla moglie e dalla figlia), ma si sia limitato ad affermare genericamente che il divieto d'entrata non gli permette di intrattenere una relazione affettiva stretta e stabile con la moglie e la figlia. Dagli atti di causa è emerso che egli vive a F._______ (cfr. in proposito atto di riconoscimento di paternità del 15 aprile 2014), ovvero in prossimità del confine elvetico e soprattutto di G._______, ove risiedono la moglie e la figlia. A._______ non può dunque prevalersi della protezione dell'art. 8 CEDU se come nel caso concreto, un rapporto con le proprie care rimane più che possibile, vista la citata vicinanza geografica. Occorre altresì osservare come il ricorrente abbia accennato al fatto di essere al beneficio di un permesso di soggiorno in Italia a tempo indeterminato (cfr. ricorso pag. 6), ma abbia solamente prodotto in sede di ricorso una copia di un permesso di soggiorno ormai scaduto. 12.9 Quo all'allegazione secondo cui la decisione litigiosa impedirebbe al ricorrente di coltivare il rapporto con lo zio, residente in Ticino, il Tribunale osserva come la giurisprudenza ha già avuto modo di precisare come la protezione della vita privata e familiare ai sensi dell'art. 8 CEDU miri specialmente ai rapporti tra parenti di cui si è detto al consid. 12.5 supra e non, come nella presente fattispecie, a garantire a un nipote di potersi recare in un Paese in cui vive il proprio zio. 12.10 In conclusione, da quanto precede la decisione impugnata non viola l'art. 8 CEDU e il ricorrente non può fondare alcun diritto sulla base di tale disposizione.</w:t>
      </w:r>
    </w:p>
    <w:p>
      <w:r>
        <w:rPr>
          <w:b/>
        </w:rPr>
        <w:t>E. 13</w:t>
      </w:r>
    </w:p>
    <w:p>
      <w:r>
        <w:t>Non giova neppure al ricorrente il fatto che egli si sia dimostrato alquanto riluttante nel fornire informazioni circa la propria attività lucrativa. A proposito di tale questione - invero non propriamente secondaria - egli si è in effetti limitato ad affermare in sede di ricorso che svolge un'attività lucrativa che gli permette di vivere dignitosamente e di «non aver mai dimostrato di dover commettere degli illeciti per vivere o anche solo per volersi permettere uno stile di vita migliore» (cfr. ricorso pag. 6). Orbene è opinione dello scrivente Tribunale che quest'ultima affermazione possa dare adito a dubbi, vista in particolare la condanna per infrazione alla LStup del 3 agosto 2012.</w:t>
      </w:r>
    </w:p>
    <w:p>
      <w:r>
        <w:rPr>
          <w:b/>
        </w:rPr>
        <w:t>E. 14</w:t>
      </w:r>
    </w:p>
    <w:p>
      <w:r>
        <w:t>Nondimeno, alla luce dell'insieme delle circostanze del caso di specie, ed in particolare del fatto che A._______ sembra essersi effettivamente astenuto dal commettere nuovi atti delittuosi in Svizzera successivamente ai fatti di cui alla condanna del 17 settembre 2013 - ciò che è bene ribadire, costituisce un presupposto indispensabile ai fini di una normale convivenza all'interno della società - il Tribunale ritiene che la durata del divieto d'entrata comminato dall'autorità inferiore debba essere ridotta a cinque anni, di conseguenza i suoi effetti devono essere limitati all'11 marzo 2018.</w:t>
      </w:r>
    </w:p>
    <w:p>
      <w:r>
        <w:rPr>
          <w:b/>
        </w:rPr>
        <w:t>E. 15</w:t>
      </w:r>
    </w:p>
    <w:p>
      <w:r>
        <w:t>Da quanto esposto, discende che il ricorso, nella misura in cui ammissibile, deve essere parzialmente accolto, le spese giudiziarie e le ripetibili seguono la soccombenza, considerato tuttavia come ai sensi dell'art. 63 cpv. 2 PA nessuna spesa processuale è messa a carico dell'autorità inferiore.</w:t>
      </w:r>
    </w:p>
    <w:p>
      <w:r>
        <w:rPr>
          <w:b/>
        </w:rPr>
        <w:t>E. 16</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1'000.-, IVA esclusa (cfr. art. 1 cpv. 2 in correlazione con gli artt. 8 cpv. 1 e 18 cpv. 1 LIVA [RS 641.20]; sentenze del TAF C-3457/2011 del 10 maggio 2012 consid. 11.1 e C-1677/2011 del 13 gennaio 2012 consid. 5.3), tenuto conto del lavoro effettivo svolto dal patrocinatore del ricorrente. L'indennità per ripetibili è posta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