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C-2352/2006 vom 28. Januar 2008</w:t>
      </w:r>
    </w:p>
    <w:p>
      <w:r>
        <w:t>Bundesverwaltungsgericht, 2008-01-28, DE</w:t>
      </w:r>
    </w:p>
    <w:p>
      <w:r>
        <w:rPr>
          <w:b/>
        </w:rPr>
        <w:t xml:space="preserve">Quelle: </w:t>
      </w:r>
      <w:r>
        <w:t>https://mcp.opencaselaw.ch/entscheid/bvger_C-2352_2006</w:t>
      </w:r>
    </w:p>
    <w:p>
      <w:r>
        <w:t>FR: TAF C-2352/2006 du 28 janvier 2008</w:t>
      </w:r>
    </w:p>
    <w:p>
      <w:r>
        <w:t>IT: TAF C-2352/2006 del 28 gennaio 2008</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lit.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des BSV vom 22. April 2004,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Im vorliegenden Fall rügt der Beschwerdeführer den vom BSV genehmigten Verteilungsplan des Vorsorgewerks Acterna Zürich AG. Der Verteilungsplan bezieht sich auf Destinatäre des Vorsorgewerks, welche wie der Beschwerdeführer in der Zeit ab dem 1. Juni 2001 aus dem Betrieb austraten respektive von diesem entlassen wurden. Der Beschwerdeführer, der im Übrigen keine Möglichkeit hatte, am Verfahren vor der Vorinstanz teilzunehmen, ist deshalb durch den angefochtenen Genehmigungsentscheid der Aufsichtsbehörde im Sinne von Art. 48 VwVG besonders berührt und somit zur Beschwerde legitimiert. 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Erw. 2 mit Hinweisen).</w:t>
      </w:r>
    </w:p>
    <w:p>
      <w:r>
        <w:rPr>
          <w:b/>
        </w:rPr>
        <w:t>E. 4</w:t>
      </w:r>
    </w:p>
    <w:p>
      <w:r>
        <w:t>Gestützt auf den bis zum 31. Dezember 2004 gültig gewesenen und hier massgeblichen Art. 23 Abs. 1 des Bundesgesetzes über die Freizügigkeit in der beruflichen Alters-, Hinterlassenen- und Invalidenvorsorge vom 17. Dezember 1993 (FZG; 831.42) entscheidet die Aufsichtsbehörde darüber, ob die Voraussetzungen für eine Teil- oder Gesamtliquidation erfüllt sind und sie genehmigt den Verteilungsplan. Seit der 1. BVG-Revision, welche am 1. Januar 2005 in Kraft getreten ist, werden in den Artikeln 53c sowie 53d Abs. 6 BVG die Zuständigkeiten der Aufsichtsbehörde bei Gesamt- und Teilliquidationen von Vorsorgeeinrichtungen geregelt. Es obliegt jedoch dem Stiftungsrat, nach seinem Ermessen die Kriterien für den Verteilungsplan festzulegen. Dabei sind ihm lediglich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Kurt Schweizer: Rechtliche Grundlagen der Anwartschaft auf eine Stiftungsleistung in der beruflichen Vorsorge, Zürich 1985, S. 106-120).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128 II 394 E. 3.3, 108 II 500, 101 Ib 134; SVR 2001, BVG Nr. 14; BKBVG 517/97 vom 14. Mai 1999).</w:t>
      </w:r>
    </w:p>
    <w:p>
      <w:r>
        <w:rPr>
          <w:b/>
        </w:rPr>
        <w:t>E. 5.1.1</w:t>
      </w:r>
    </w:p>
    <w:p>
      <w:r>
        <w:t>Für den Beschwerdeführer hätte die Vorinstanz den Verteilungsplan nur unter Vorbehalt genehmigen dürfen, dass er selbst daraus gestrichen werde, da er am 23. März 2001, also über zwei Monate vor dem Stichtag freiwillig gekündigt habe, welcher für die im Hinblick auf die Teilliquidation noch zu berücksichtigenden Destinatäre massgebend war (1. Juni 2001). Lediglich die dreimonatige Kündigungsfrist habe dazu geführt, dass er knapp von diesem Stichtag betroffen sei. Eventualiter seien nur diejenigen Destinatäre zu berücksichtigen, welche im Juni 2001 gekündigt hätten. Sein freiwilliger Austritt sei nicht im Zusammenhang mit den wirtschaftlichen Schwierigkeiten der Arbeitgeberfirma gestanden.</w:t>
      </w:r>
    </w:p>
    <w:p>
      <w:r>
        <w:rPr>
          <w:b/>
        </w:rPr>
        <w:t>E. 5.1.2</w:t>
      </w:r>
    </w:p>
    <w:p>
      <w:r>
        <w:t>Demgegenüber ist die Aufsichtsbehörde der Ansicht, dass die Rechtsprechung, wonach Abgänge, welche auf das die Teilliquidation auslösende wirtschaftliche Ereignis zurückgehen (vgl. BGE 128 II 394 Erw. 5 und 6), nicht spiegelbildlich auf den Fall der Unterdeckung wie vorliegend anzuwenden sei; denn so wie auf völlig freiwilliger Basis Ausscheidende keinen Anspruch auf freie Mittel hätten, so könnten sich solche Arbeitnehmer - in Anbetracht des Gleichbehandlungsgebotes im Vergleich mit später ausscheidenden - nicht einer Kürzung der Freizügigkeitsleistung entziehen.</w:t>
      </w:r>
    </w:p>
    <w:p>
      <w:r>
        <w:rPr>
          <w:b/>
        </w:rPr>
        <w:t>E. 5.1.3</w:t>
      </w:r>
    </w:p>
    <w:p>
      <w:r>
        <w:t>Die Beschwerdegegnerin geht hingegen davon aus, dass die erwähnte Rechtsprechung durchaus auch im Falle einer Unterdeckung angewandt werden könne; es sei aber nicht von der Hand zu weisen, dass der Beschwerdeführer sich wegen der sich abzeichnenden wirtschaftlichen Schwierigkeit des Arbeitgeberbetriebes aus berechtigter Angst um seinen Arbeitsplatz um eine neue Stelle bemüht habe. Auf Grund der bereits im ersten Quartal 2001 sich abzeichnenden ökonomischen Schieflage der Firma habe deren Verwaltungsrat am 19. März 2001 Finanzspritzen in Millionenhöhe beschlossen. Das Kündigungsschreiben des Beschwerdeführers trage das Datum vom 23. März 2001, also einige Tage nach dem erwähnten Entscheid betreffend Sanierungsmassnahmen. Zudem seien alle Destinatäre zu berücksichtigen, welche per 30. Juni 2001 aus dem Betrieb ausschieden, was auf den Beschwerdeführer zutreffe.</w:t>
      </w:r>
    </w:p>
    <w:p>
      <w:r>
        <w:rPr>
          <w:b/>
        </w:rPr>
        <w:t>E. 5.2.1</w:t>
      </w:r>
    </w:p>
    <w:p>
      <w:r>
        <w:t>Der hier anzuwendende Art. 23 FZG in der bis zum 31. Dezember 2004 gültigen Fassung enthält in dessen Absatz 4 die Vorschrift, wonach die Voraussetzungen für eine Teilliquidation vermutungsweise erfüllt sind, wenn eine erheblich Verminderung der Belegschaft erfolgt (lit. a), eine Unternehmung restrukturiert wird (lit. b) oder ein Arbeitgeber den Anschlussvertrag mit einer Vorsorgeeinrichtung auflöst und diese nachher weiterbesteht (lit. c). Diese Voraussetzungen finden sich im Wesentlichen wieder in Art. 53b BVG, welcher ab dem 1. Januar 2005 anwendbar ist. Gestützt auf diese Bestimmungen gehen Lehre und Rechtsprechung davon aus, dass die Vorsorgeeinrichtung nur dann zur Verteilung freier Stiftungsmittel verpflichtet werden könne, wenn Mitarbeiter - ausgelöst durch Ereignisse auf Betriebs- oder Unternehmensebene und nicht durch Kündigungen aus individuellen Gründen - grundsätzlich unfreiwillig aus einer Vorsorgeeinrichtung ausscheiden müssen (Carl Helbling, Personalvorsorge und BVG, 8. Auflage, 2006, S. 275; Hans-Ulrich Stauffer, Berufliche Vorsorge, 2005, Rz. 1147; BGE 128 II 394). Allerdings verhält es sich anders, wenn sich Mitarbeiter wegen sich abzeichnender wirtschaftlicher Schwierigkeiten des Arbeitgeberbetriebs aus berechtigter Angst um ihren Arbeitsplatz frühzeitig um eine neue Stelle bemühten.</w:t>
      </w:r>
    </w:p>
    <w:p>
      <w:r>
        <w:rPr>
          <w:b/>
        </w:rPr>
        <w:t>E. 5.2.2</w:t>
      </w:r>
    </w:p>
    <w:p>
      <w:r>
        <w:t>Die erwähnten Bestimmungen sind im Rahmen einer Teilliquidation auch dann anzuwenden, wenn infolge einer Unterdeckung Freizügigkeitsleistungen gekürzt werden und es nicht darum geht, freie Mittel zu verteilen (vgl. Bundesgerichtsurteil B 82/04 vom 30. Juni 2005, Erw. 4.1). Die Aufsichtsbehörde, welche hier eine andere Meinung vertritt, ist daher in diesem Punkt nicht zu hören.</w:t>
      </w:r>
    </w:p>
    <w:p>
      <w:r>
        <w:rPr>
          <w:b/>
        </w:rPr>
        <w:t>E. 5.3</w:t>
      </w:r>
    </w:p>
    <w:p>
      <w:r>
        <w:t>Der Beschwerdeführer ist nicht damit einverstanden, dass das Ausscheidungsdatum der Destinatäre aus der Arbeitgeberfirma für deren Berücksichtigung in der Teilliquidation massgebend sein soll.</w:t>
      </w:r>
    </w:p>
    <w:p>
      <w:r>
        <w:rPr>
          <w:b/>
        </w:rPr>
        <w:t>E. 5.3.1</w:t>
      </w:r>
    </w:p>
    <w:p>
      <w:r>
        <w:t>Die Methodik der Abgrenzung in Form bestimmter Stichtage - vorliegend einerseits der 1. Juni 2001 als zurückliegenden Fixtag für die Bestimmung des an der Verteilung der freien Mittel resp. der Kürzung wegen Unterdeckung beteiligten Destinatärkreises sowie andererseits der 30. Juni 2003 als Stichtag für die Teilliquidation - ist im Rahmen der Liquidationen von Vorsorgeeinrichtungen sehr verbreitet (Ruggli/Stohler, Umstrukturierung in der Wirtschaft und ihre Auswirkungen auf die berufliche Vorsorge, in: Basler Juristische Mitteilungen [BJM] 2000, S. 124; SVR 1997, BVG Nr. 65, S. 196). Dabei können sich gewisse "Mitternachtseffekte" einstellen. Diese sind in Kauf zu nehmen, solange sich der Stiftungsrat noch im Rahmen seines zustehenden weiten Ermessens bewegt. Bei diesen Stichtagen wird durchwegs auf das Ausscheiden der Destinatäre aus der Vorsorgeeinrichtung abgestellt, zumal es sich um die Abwicklung von Vorsorgeverhältnissen handelt. Dies ist somit sachlich gerechtfertigt. Das Kündigungsdatum kann hier nicht massgebend sein.</w:t>
      </w:r>
    </w:p>
    <w:p>
      <w:r>
        <w:rPr>
          <w:b/>
        </w:rPr>
        <w:t>E. 5.3.2</w:t>
      </w:r>
    </w:p>
    <w:p>
      <w:r>
        <w:t>Vorliegend ist die Wahl der beiden erwähnten Stich- oder Fixtage angesichts des Expertenberichts zum Status bei Teilliquidation vom 25. August 2003 nicht zu beanstanden, zumal einerseits eine Graphik über die Entwicklung des Versichertenbestandes und mithin des Beschäftigtenbestandes aufzeigt, dass sich dieser ab dem 1. Juni 2001 bis zum 30. Juni 2003 massiv verringert hat, und andererseits per 30. Juni 2003 die meisten Destinatäre aus dem Vorsorgewerk ausgeschieden waren, so dass die provisorische Zwischenbilanz per letztgenanntem Datum als Ausgangslage für die Teilliquidation diente (act. 1, Ziff. 1.2 und 4.2). Unbestritten ist, dass der Beschwerdeführer per 30. Juni 2001 aus dem Vorsorgewerk ausschied und deshalb grundsätzlich in den hier bezeichneten Zeitraum fällt. Damit ist der Beschwerdeführer soweit nicht zu hören, als er das Abstellen auf das Ausscheidungsdatum und nicht auf das Kündigungsdatum rügt, oder nur die Berücksichtigung der Destinatäre verlangt, welche erst im Juni gekündigt haben.</w:t>
      </w:r>
    </w:p>
    <w:p>
      <w:r>
        <w:rPr>
          <w:b/>
        </w:rPr>
        <w:t>E. 5.4</w:t>
      </w:r>
    </w:p>
    <w:p>
      <w:r>
        <w:t>Der Beschwerdeführer ist hauptsächlich der Auffassung, dass er freiwillig aus der Arbeitgeberfirma ausgeschieden und deshalb nicht in der Teilliquidation zu berücksichtigen sei.</w:t>
      </w:r>
    </w:p>
    <w:p>
      <w:r>
        <w:rPr>
          <w:b/>
        </w:rPr>
        <w:t>E. 5.4.1</w:t>
      </w:r>
    </w:p>
    <w:p>
      <w:r>
        <w:t>Das Kündigungsschreiben des Beschwerdeführers vom 23. März 2001 lautet wie folgt: " Kündigung meines Arbeitsvertrages auf den 30. Juni 2001" Sehr geehrte Damen und Herren, da ich mich in S._______ AG sehr stark in meinen Entfaltungsmöglichkeiten eingeschränkt fühle, habe ich mich zu einer Neuorientierung entschlossen. Dies scheint für mich aktuell die einzige Chance zu sein, mein angeeignetes know how und meine Fähigkeiten sinnvoll einsetzen zu können. Ich möchte Sie hiermit bitten mein Arbeitsverhältnis mit S._______ AG auf den 30. Juni 2001, unter Einhaltung der 3 monatigen Kündigungsfrist, auf zu lösen. ..." Aus diesem Kündigungsschreiben kann in keiner Weise ein Zusammenhang mit allfälligen wirtschaftlichen Schwierigkeiten der Arbeitgeberfirma hergestellt werden. Auch wenn man davon ausgehen würde, dass der Beschwerdeführer von den Entscheiden des Verwaltungsrates vom 19. März 2001 über die Kapitalerhöhung von Fr. 11 Mio und den Konzernzuschuss von Fr. 10 Mio erfahren hätte - was nicht erstellt ist, sondern von der Beschwerdegegnerin lediglich vermutet wird - könnte daraus nicht automatisch geschlossen werden, der Beschwerdeführer hätte sich wegen sich abzeichnenden wirtschaftlichen Schwierigkeiten des Arbeitgeberbetriebs aus berechtigter Angst um seinen Arbeitsplatz frühzeitig um eine neue Stelle bemüht. Neben dem zweifellos anderslautenden Wortlaut des Kündigungsschreibens ist darauf hinzuweisen, dass dem Verwaltungsrat im März 2001 offensichtlich noch erhebliche Mittel zur Verfügung standen, um einen - möglicherweise nur vorübergehenden finanziellen Engpass - zu überbrücken, überdies mit einem finanzstarken Konzern im Rücken. Damit ist für das Bundesverwaltungsgericht nicht erstellt, dass der Beschwerdeführer aus berechtigter Angst um seinen Arbeitsplatz, also praktisch "unfreiwillig" aus der Arbeitgeberfirma ausgeschieden ist. Vielmehr ist von einem freiwilligen Ausscheiden auszugehen.</w:t>
      </w:r>
    </w:p>
    <w:p>
      <w:r>
        <w:rPr>
          <w:b/>
        </w:rPr>
        <w:t>E. 5.4.2</w:t>
      </w:r>
    </w:p>
    <w:p>
      <w:r>
        <w:t>Auf Grund der bereits zitierten Lehre und Rechtsprechung (vgl. Erw. 5.2.1) sind vor dem Stichtag der Teilliquidation freiwillig ausgeschiedene Arbeitnehmer im Verteilungsplan nicht aufzunehmen. Daraus folgt, dass sich der Beschwerdeführer im vorliegenden Fall nicht an der Sanierung zu beteiligen hat und er mithin zu Unrecht im Verteilungsplan des Vorsorgewerks der Y._______ AG aufgenommen wurde. Die Beschwerde ist demnach vollumfänglich gutzuheissen.</w:t>
      </w:r>
    </w:p>
    <w:p>
      <w:r>
        <w:rPr>
          <w:b/>
        </w:rPr>
        <w:t>E. 6.1</w:t>
      </w:r>
    </w:p>
    <w:p>
      <w:r>
        <w:t>Dieser Ausgang des Verfahrens hat nach Art. 63 Abs. 1 VwVG zur Folge, dass die unterliegende Beschwerdegegnerin kostenpflichtig wird. Der unterliegenden Vorinstanz können demgegenüber keine Verfahrenskosten auferlegt werden (Art. 63 Abs. 2 VwVG). Nach dem Reglement vom 11. Dezember 2006 über die Kosten und Entschädigungen vor dem Bundesverwaltungsgericht (VGKE, SR 173.320.2) werden die Verfahrenskosten auf Fr. 1'400.-- festgelegt.</w:t>
      </w:r>
    </w:p>
    <w:p>
      <w:r>
        <w:rPr>
          <w:b/>
        </w:rPr>
        <w:t>E. 6.2</w:t>
      </w:r>
    </w:p>
    <w:p>
      <w:r>
        <w:t>Der anwaltlich vertretene Beschwerdeführer hat, dem Verfahrensausgang entsprechend, laut Art. 64 Abs. 1 VwVG in Verbindung mit Art. 7 VGKE Anspruch auf eine Parteientschädigung. Wird keine Kostennote eingereicht, setzt das Gericht die Entschädigung auf Grund der Akten fest Art. 14 Abs. 2 VGKE). Angesichts des Streitwerts (Fr. 7'228.90), der Wichtigkeit der Streitsache sowie dem Umfang der Arbeitsleistung erweist sich eine Parteientschädigung von Fr. 2'000.-- als angemessen. Gemäss Art. 64 Abs. 2 VwVG kann die Entschädigung der Vorinstanz auferlegt werden, soweit sie nicht einer unterliegenden Gegenpartei auferlegt werden kann. Vorliegend hat sich die Beschwerdegegnerin mit selbständigen Begehren am Verfahren beteiligt (vgl. Art. 64 Abs. 3 VwVG), so dass ihr die Parteientschädigung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