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C-2351/2006 vom 28. Januar 2008</w:t>
      </w:r>
    </w:p>
    <w:p>
      <w:r>
        <w:t>Bundesverwaltungsgericht, 2008-01-28, DE</w:t>
      </w:r>
    </w:p>
    <w:p>
      <w:r>
        <w:rPr>
          <w:b/>
        </w:rPr>
        <w:t xml:space="preserve">Quelle: </w:t>
      </w:r>
      <w:r>
        <w:t>https://mcp.opencaselaw.ch/entscheid/bvger_C-2351_2006</w:t>
      </w:r>
    </w:p>
    <w:p>
      <w:r>
        <w:t>FR: TAF C-2351/2006 du 28 janvier 2008</w:t>
      </w:r>
    </w:p>
    <w:p>
      <w:r>
        <w:t>IT: TAF C-2351/2006 del 28 gennaio 2008</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lit. i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2.1</w:t>
      </w:r>
    </w:p>
    <w:p>
      <w:r>
        <w:t>Anfechtungsgegenstand des vorliegenden Verfahrens ist der Verwaltungsakt des BSV vom 22. April 2004, welcher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Im vorliegenden Fall rügt der Beschwerdeführer den vom BSV genehmigten Verteilungsplan des Vorsorgewerks Acterna Zürich AG. Der Verteilungsplan bezieht sich auf Destinatäre des Vorsorgewerks, welche wie der Beschwerdeführer in der Zeit ab dem 1. Juni 2001 aus dem Betrieb austraten respektive von diesem entlassen wurden. Der Beschwerdeführer, der im Übrigen keine Möglichkeit hatte, am Verfahren vor der Vorinstanz teilzunehmen, ist deshalb durch den angefochtenen Genehmigungsentscheid der Aufsichtsbehörde im Sinne von Art. 48 VwVG besonders berührt und somit zur Beschwerde legitimiert. Der Beschwerdeführer hat frist- und formgerecht Beschwerde erhoben (Art. 50 und 52 VwVG). Nachdem auch der verfügte Kostenvorschuss fristgemäss geleistet worden ist, ist auf die Beschwerde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Erw. 2 mit Hinweisen).</w:t>
      </w:r>
    </w:p>
    <w:p>
      <w:r>
        <w:rPr>
          <w:b/>
        </w:rPr>
        <w:t>E. 4.1</w:t>
      </w:r>
    </w:p>
    <w:p>
      <w:r>
        <w:t>Die Aufsichtsbehörde hat über die Einhaltung der gesetzlichen, statutarischen und reglementarischen Vorschriften zu wachen (Art. 62 Abs. 1 BVG), indem sie insbesondere die Übereinstimmung der reglementarischen Bestimmungen mit den gesetzlichen Vorschriften prüft (lit. a), von den Vorsorgeeinrichtungen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w:t>
      </w:r>
    </w:p>
    <w:p>
      <w:r>
        <w:rPr>
          <w:b/>
        </w:rPr>
        <w:t>E. 4.2</w:t>
      </w:r>
    </w:p>
    <w:p>
      <w:r>
        <w:t>Zur Behebung von Mängeln gemäss Art. 62 Abs. 1 lit. d BVG stehen der Aufsichtsbehörde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w:t>
      </w:r>
    </w:p>
    <w:p>
      <w:r>
        <w:rPr>
          <w:b/>
        </w:rPr>
        <w:t>E. 4.2.1</w:t>
      </w:r>
    </w:p>
    <w:p>
      <w:r>
        <w:t>Bei den präventiven Aufsichtsmitteln ist eine Teilnahme an der Willensbildung der Verwaltungsorgane begrifflich nicht vorausgesetzt. Eine allgemeine und voraussetzungslose Einflussnahme bereits auf das Zustandekommen von Entscheiden und Handlungen der Vorsorgeeinrichtungen sowie die voraussetzungslose und allgemeine Beschränkung der Verfügung über deren Vermögen sind verboten. Die Willensbildung der Vorsorgeeinrichtung ist vielmehr Sache der Vorsorgeeinrichtung bzw. deren Organe. Aufsichtsmittel, die bereits das Zustandekommen von Handlungen der Vorsorgeeinrichtung unmittelbar beeinflussen oder sich gar an diesen beteiligen, verletzen den verwaltungsrechtlichen Grundsatz der Verhältnismässigkeit und bei Vorsorgeeinrichtungen, insbesondere bei jenen in der Rechtsform der Stiftung das von der Privatautonomie abgeleitete Prinzip der Stifterfreiheit (Isabelle Vetter-Schreiber, Staatliche Haftung bei mangelhafter BVG-Aufsichtstätigkeit, Zürich 1996, S. 61 f.; Christina Ruggli, Die behördliche Aufsicht über Vorsorgeeinrichtungen, Basel 1992, S. 62 f.).</w:t>
      </w:r>
    </w:p>
    <w:p>
      <w:r>
        <w:rPr>
          <w:b/>
        </w:rPr>
        <w:t>E. 4.2.2</w:t>
      </w:r>
    </w:p>
    <w:p>
      <w:r>
        <w:t>Als repressive Aufsichtsmittel kommen unter anderem in Frage, die Mahnung pflichtvergessener Organe, das Erteilen von Weisungen oder Auflagen, soweit die Vorsorgeeinrichtung keinen Ermessensspielraum hat, die Aufhebung und Änderung von Entscheiden oder Erlassen der Stiftungsorgane, wenn und soweit diese gesetzes- oder urkundenwidrig sind, die Abberufung und Neueinsetzung von Stiftungsorganen und Liquidatoren, die Ersatzvornahme durch Dritte auf Kosten der Stiftung oder die Einsetzung eines Beistandes oder eines interimistischen Stiftungsrates unter gleichzeitiger Enthebung des ordentlichen Stiftungsrates (Isabelle Vetter-Schreiber, a.a.O., S. 63 ff.; Christina Ruggli, a.a.O., S. 111 ff.). Die Aufzählung ist nicht abschliessend. Aufgrund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(Isabelle Vetter-Schreiber, a.a.O., S. 33f.; Carl Helbling, Personalvorsorge und BVG, Bern 2000, S. 556). Damit liegt nicht schon dann ein Mangel vor, wenn die Aufsichtsbehörde in einer Sache anders entschieden hätte als die Vorsorgeeinrichtung. Demgemäss hat die Aufsichtsbehörde zu beachten, dass der Vorsorgeeinrichtung ein Ermessen zusteht. Dabei ist Letztere an den vorgegebenen rechtlichen Rahmen gebunden und sie muss die allgemeinen Rechtsprinzipien beachten. Im Weiteren muss sie ihr Ermessen gestützt auf die sachlich naheliegenden Kriterien und den Verhältnissen des Einzelfalls angemessen und damit zweckmässig ausüben (Merkli/Aeschlimann/Herzog, Kommentar zum bernischen VRPG, Bern 1997, N 24, 26 zu Art. 66 Abs. 1 VRPG).</w:t>
      </w:r>
    </w:p>
    <w:p>
      <w:r>
        <w:rPr>
          <w:b/>
        </w:rPr>
        <w:t>E. 4.3</w:t>
      </w:r>
    </w:p>
    <w:p>
      <w:r>
        <w:t>Gestützt auf den bis zum 31. Dezember 2004 gültig gewesenen und hier massgeblichen Art. 23 Abs. 1 des Bundesgesetzes über die Freizügigkeit in der beruflichen Alters-, Hinterlassenen- und Invalidenvorsorge vom 17. Dezember 1993 (FZG; 831.42) entscheidet die Aufsichtsbehörde darüber, ob die Voraussetzungen für eine Teil- oder Gesamtliquidation erfüllt sind und sie genehmigt den Verteilungsplan. Seit der 1. BVG-Revision, welche am 1. Januar 2005 in Kraft getreten ist, werden in den Artikeln 53c sowie 53d Abs. 6 BVG die Zuständigkeiten der Aufsichtsbehörde bei Gesamt- und Teilliquidationen von Vorsorgeeinrichtungen geregelt. Es obliegt jedoch dem Stiftungsrat, nach seinem Ermessen die Kriterien für den Verteilungsplan festzulegen. Dabei sind ihm lediglich Grenzen gesetzt durch den Stiftungszweck, die Grundsätze der Verhältnismässigkeit, der Gleichbehandlung und des guten Glaubens und er muss dem Fortführungsinteresse der verbleibenden Destinatäre, wie den Interessen der ausgetretenen Mitglieder Rechnung tragen (vgl. BGE 119 Ib 46; Kurt Schweizer: Rechtliche Grundlagen der Anwartschaft auf eine Stiftungsleistung in der beruflichen Vorsorge, Zürich 1985, S. 106-120). Die Aufsichtsbehörde hat den Verteilungsplan auf diese Kriterien hin zu überprüfen und zu genehmigen und darf nicht ihr eigenes Ermessen anstelle desjenigen des Stiftungsrates setzen. Sie kann nur einschreiten, wenn der Entscheid des Stiftungsrates unhaltbar ist, weil er auf sachfremden Kriterien beruht oder einschlägige Kriterien ausser acht lässt (vgl. BGE 128 II 394 E. 3.3, 108 II 500, 101 Ib 134; SVR 2001, BVG Nr. 14; BKBVG 517/97 vom 14. Mai 1999).</w:t>
      </w:r>
    </w:p>
    <w:p>
      <w:r>
        <w:rPr>
          <w:b/>
        </w:rPr>
        <w:t>E. 5.1</w:t>
      </w:r>
    </w:p>
    <w:p>
      <w:r>
        <w:t>Für den Beschwerdeführer hätte die Vorinstanz den Verteilungsplan nicht genehmigen dürfen, da dieser unter den Aktiven keine Schadenersatzansprüche aufführe, welche gegen die für die Unterdeckung verantwortlichen Organe der Vorsorgeeinrichtung hätten geltend gemacht werden müssen. Die Unterdeckung sei auf mehrere Fehlentscheide und Nachlässigkeiten dieser Organe zurückzuführen, so die Wahl einer zu riskanten Anlagestrategie, die zu spät getroffenen Sanierungsmassnahmen, die fehlende Verpflichtung der Arbeitgeberin, eine Nachschussleistung einzuzahlen sowie ungenügende Schwankungsreserven. Die Beschwerdegegnerin ist demgegenüber der Ansicht, die Frage der Geltendmachung von allfälligen Schadenersatzansprüchen könne nicht Gegenstand des vorliegenden Verfahrens sein, sondern müsse allenfalls klageweise gemäss Art. 73 BVG geltend gemacht werden. Die Vorinstanz nahm demgegenüber nur zur Frage der Nachschusspflicht Stellung.</w:t>
      </w:r>
    </w:p>
    <w:p>
      <w:r>
        <w:rPr>
          <w:b/>
        </w:rPr>
        <w:t>E. 5.2</w:t>
      </w:r>
    </w:p>
    <w:p>
      <w:r>
        <w:t>Zu den repressiven Mitteln, zu denen die Aufsichtsbehörde theoretisch greifen kann, gehört zwar auch die Anweisung, die Geltendmachung von Verantwortlichkeitsansprüchen zu prüfen und, wenn dies nach einer sorgfältigen Abschätzung des Prozessrisikos offensichtlich geboten ist, eine Schadenersatzklage anzuheben. Eine solche Anweisung steht jedoch nicht in derart engem Zusammenhang mit der Genehmigung eines Verteilungsplanes, wie dies der Beschwerdeführer wahrhaben möchte. Jedenfalls können darin niemals fiktive Schadenersatzansprüche aufgeführt werden, welche weder konkret in einem Verfahren geltend gemacht, noch deren Geltendmachung überhaupt geprüft, geschweige denn im Grundsatze oder umfangmässig bestimmt worden sind. Es ist auch keinesfalls so, dass die Aufsichtsbehörde dieser Frage automatisch, generell oder in Unterdeckungsfällen, im Rahmen der Genehmigung eines Verteilungsplanes nachgehen müsste.</w:t>
      </w:r>
    </w:p>
    <w:p>
      <w:r>
        <w:rPr>
          <w:b/>
        </w:rPr>
        <w:t>E. 5.3</w:t>
      </w:r>
    </w:p>
    <w:p>
      <w:r>
        <w:t>Eine Anweisung, Schadenersatzansprüche zu prüfen respektive geltend zu machen, könnte die Aufsichtsbehörde der Vorsorgeeinrichtung im Übrigen nur dann erteilen, wenn sie erkennt, dass der ausdrückliche Verzicht der Vorsorgeeinrichtung, solche Ansprüche zu prüfen oder nach sorgfältiger Prüfung geltend zu machen, ein klarer Verstoss gegen gesetzliche oder statutarische Vorschriften darstellt. Keinesfalls darf die Aufsichtsbehörde in das weite Ermessen der Vorsorgeeinrichtung schon dann eingreifen, wenn sie nach Prüfung der Sachlage einfach zu einem anderen Ermessensentscheid gekommen wäre. Die Erkennung von Sorgfaltspflichtsverletzungen muss denn auch auf konkrete Elemente beruhen, auf Grund deren die Aufsichtsbehörde eingreifen könnte. Der Tatbestand einer Unterdeckung alleine lässt nicht unweigerlich auf Sorgfaltsverletzungen schliessen. Im vorliegenden Fall können solche Schlüsse jedenfalls insbesondere weder aus dem Expertenbericht vom 25. August 2003 (vgl. act. 1) noch aus dem Schreiben der E._______ AG vom 17. Februar 2004 an die Aufsichtsbehörde (vgl. act. 7) gezogen werden. So sei die Y._______ AG laut Expertenbericht bereits im ersten Quartal 2001 überschuldet gewesen und hätte ohne Sofortmassnahmen (u.a. Kapitalerhöhung) alsbald den Konkurs anmelden müssen (act. 1, Ziffer 1.1). Zudem präzisierte derselbe Experte gegenüber der Aufsichtsbehörde, dass die bei einigen Vorsorgewerken entstandene Unterdeckung direkt auf die zum Teil massiven Kurskorrekturen an den internationalen Finanzmärkten verbunden mit der gesetzlichen Verpflichtung zur Verzinsung der Altersguthaben zurückzuführen sei und sich nicht aus einem schlechten Risikoverlauf ergeben habe (act. 7, S. 1 in fine). Daraus ist zu schliessen, dass die Aufsichtsbehörde auch im vorliegenden Fall keine Veranlassung haben konnte, zusammen mit der Genehmigung des Verteilungsplanes zu einem repressiven Aufsichtsmittel zu greifen. Insgesamt folgt daraus, dass der Beschwerdeführer ein mangelndes Einschreiten der Aufsichtsbehörde jedenfalls nicht im vorliegenden Beschwerdeverfahren rügen kann. Es trifft zwar zu, dass dem Beschwerdeführer grundsätzlich kein Anspruch zusteht, selbst eine Verantwortlichkeitsklage zu erheben, da Versicherte in der Regel bloss einen mittelbaren Schaden erleiden. Es steht ihm aber die Möglichkeit offen, die Aufsichtsbehörde unter Angabe von konkreten Sorgfaltspflichtsverletzungen aufzufordern, die Organe der Vorsorgeeinrichtung anzuweisen, eine Verantwortlichkeitsklage anzuheben (vgl. Hans-Ulrich Stauffer, Berufliche Vorsorge, Schulthess 2005, Rz. 1427). Erst hierauf wird die Aufsichtsbehörde diese Frage zu prüfen haben, ohne dass die Genehmigung des Verteilungsplanes jetzt in Frage zu stellen wäre.</w:t>
      </w:r>
    </w:p>
    <w:p>
      <w:r>
        <w:rPr>
          <w:b/>
        </w:rPr>
        <w:t>E. 6</w:t>
      </w:r>
    </w:p>
    <w:p>
      <w:r>
        <w:t>Der Beschwerdeführer rügt des Weiteren, es habe sich vorliegend um eine Total- und nicht um eine Teilliquidation gehandelt, was im Rahmen des Verteilungsplanes zu berücksichtigen sei. Allerdings präzisiert er nicht, inwiefern dies auf den Verteilungsplan einen Einfluss hätte. Die Vorsorgeeinrichtung wurde jedenfalls zu Recht nicht aufgehoben, da laut der Beschwerdegegnerin noch zwei invalide Personen versichert seien. Ob dieser Umstand auf den Verteilungsplan überhaupt einen Einfluss hätte, kann letzten Endes offengelassen werden.</w:t>
      </w:r>
    </w:p>
    <w:p>
      <w:r>
        <w:rPr>
          <w:b/>
        </w:rPr>
        <w:t>E. 7</w:t>
      </w:r>
    </w:p>
    <w:p>
      <w:r>
        <w:t>Schliesslich beanstandet der Beschwerdeführer den Abzug verschiedener Verbindlichkeiten, und zwar Fr. 89'763.40 (Kontokorrent Firma) und Fr. 9'597.15 (Kontokorrent Sicherheitsfonds). Zur überzeugenden Begründung der Beschwerdegegnerin, wonach es sich beim erstgenannten Betrag um Beitragsrückerstattungen infolge Austritts der Versicherten und beim zweitgenannten um an den Sicherheitsfonds zu entrichtende Beiträge handelt (vgl. act. B 22, Ziff. 6), hat der Beschwerdeführer nicht mehr Stellung genommen. Das Bundesverwaltungsgericht sieht deshalb keinen Grund, diese vom Experten geprüften Abzüge anders zu beurteilen.</w:t>
      </w:r>
    </w:p>
    <w:p>
      <w:r>
        <w:rPr>
          <w:b/>
        </w:rPr>
        <w:t>E. 8.1</w:t>
      </w:r>
    </w:p>
    <w:p>
      <w:r>
        <w:t>Die Beschwerde ist nach dem Gesagten abzuweisen. Das führt dazu, dass der Beschwerdeführer gemäss Art. 63 Abs. 1 VwVG kostenpflichtig wird. Die Verfahrenskosten sind gemäss dem Reglement vom 11. Dezember 2006 über die Kosten und Entschädigungen vor dem Bundesverwaltungsgericht (VGKE, SR 173.320.2) zu bestimmen. Sie werden auf Fr. 1'400.-- festgelegt. Es erfolgt eine Verrechnung mit dem bereits einbezahlten Kostenvorschuss von Fr. 1'400.--.</w:t>
      </w:r>
    </w:p>
    <w:p>
      <w:r>
        <w:rPr>
          <w:b/>
        </w:rPr>
        <w:t>E. 8.2</w:t>
      </w:r>
    </w:p>
    <w:p>
      <w:r>
        <w:t>Gemäss Art. 64 Abs. 1 VwVG kann die Beschwerdeinstanz der ganz oder teilweise obsiegenden Partei von Amtes wegen oder auf Begehren eine Entschädigung für ihr erwachsene Kosten zusprechen. Diesbezüglich hat das Eidg. Versicherungsgericht mit Urteil vom 3. April 2000 jedoch erwogen, dass Trägerinnen oder Versicherer der beruflichen Vorsorge gemäss BVG grundsätzlich keinen Anspruch auf Parteientschädigung haben (BGE 126 V 149 Erw. 4). Für das Bundesverwaltungsgericht besteht im vorliegenden Fall kein Grund, von dieser Regel abzuweichen; der obsiegenden Beschwerdegegnerin als Trägerin der beruflichen Vorsorge gemäss BVG wird deshalb keine Parteientschädigung zugesprochen. Der obsiegenden Vorinstanz steht praxisgemäss ebenfalls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