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C-2349/2008 vom 11. März 2010</w:t>
      </w:r>
    </w:p>
    <w:p>
      <w:r>
        <w:t>Bundesverwaltungsgericht, 2010-03-11, DE</w:t>
      </w:r>
    </w:p>
    <w:p>
      <w:r>
        <w:rPr>
          <w:b/>
        </w:rPr>
        <w:t xml:space="preserve">Quelle: </w:t>
      </w:r>
      <w:r>
        <w:t>https://mcp.opencaselaw.ch/entscheid/bvger_C-2349_2008</w:t>
      </w:r>
    </w:p>
    <w:p>
      <w:r>
        <w:t>FR: TAF C-2349/2008 du 11 mars 2010</w:t>
      </w:r>
    </w:p>
    <w:p>
      <w:r>
        <w:t>IT: TAF C-2349/2008 del 11 marzo 2010</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Ausdehnung der kantonalen Wegweisung auf das ganze Gebiet der Schweiz. In diesem Bereich entscheidet das Bundesverwaltungsgericht endgültig (vgl. Art. 83 Bst. c Ziff. 4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als Verfügungsadressat aufgrund von Art. 48 Abs. 1 VwVG zur Beschwerde berechtigt.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BGE 129 II 215 nicht publizierte E. 1.2).</w:t>
      </w:r>
    </w:p>
    <w:p>
      <w:r>
        <w:rPr>
          <w:b/>
        </w:rPr>
        <w:t>E. 3.1</w:t>
      </w:r>
    </w:p>
    <w:p>
      <w:r>
        <w:t>Am 1. Januar 2008 trat das Bundesgesetz vom 16. Dezember 2005 über die Ausländerinnen und Ausländer (AuG, SR 142.20) mit seinen Ausführungsverordnungen (u.a. die Verordnung vom 24. Oktober 2007 über Zulassung, Aufenthalt und Erwerbstätigkeit [VZAE, SR 142.201]) in Kraft und löste das bis dahin geltende Bundesgesetz vom 26. März 1931 über Aufenthalt und Niederlassung der Ausländer (ANAG, BS 1 121) sowie verschiedene darauf gestützt erlassene Verordnungen ab (vgl. Art. 125 i.V.m. Ziff. I Anhang 2 AuG und Art. 91 VZAE). In Verfahren, die vor diesem Zeitpunkt anhängig gemacht wurden, bleibt nach der übergangsrechtlichen Ordnung des AuG das alte materielle Recht anwendbar. Dabei ist grundsätzlich ohne Belang, ob das Verfahren auf Gesuch hin (vgl.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(vgl. das Urteil des Bundesverwaltungsgerichts C-7842/2008 vom 23. April 2009 E. 3.1 mit Hinweis).</w:t>
      </w:r>
    </w:p>
    <w:p>
      <w:r>
        <w:rPr>
          <w:b/>
        </w:rPr>
        <w:t>E. 3.2</w:t>
      </w:r>
    </w:p>
    <w:p>
      <w:r>
        <w:t>Im vorliegenden Fall wurde das der angefochtenen Ausdehnungsverfügung zugrunde liegende Wegweisungsverfahren auf kantonaler Ebene vor dem 1. Januar 2008 eingeleitet (siehe Verfügung des Migrationsamts des Kantons Zürich vom 21. Juni 2006). Massgeblich ist folglich das alte materielle Recht einschliesslich der diesbezüglich vorgesehenen altrechtlichen Zuständigkeiten. Das BFM war daher für den Erlass der angefochtenen Verfügung zuständig (vgl. das Urteil des Bundesverwaltungsgerichts C-6528/2007 vom 3. Februar 2010 E. 1.2 mit Hinweisen).</w:t>
      </w:r>
    </w:p>
    <w:p>
      <w:r>
        <w:rPr>
          <w:b/>
        </w:rPr>
        <w:t>E. 4.1</w:t>
      </w:r>
    </w:p>
    <w:p>
      <w:r>
        <w:t>Gemäss Art. 1a ANAG ist eine ausländische Person nur dann zur Anwesenheit in der Schweiz berechtigt, wenn sie über eine Aufenthalts- oder Niederlassungsbewilligung verfügt oder nach dem Gesetz keiner solchen bedarf (zu Letzterem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ist von Gesetzes wegen verpflichtet, die Schweiz zu verlassen (vgl. Art. 12 Abs. 1 ANAG, ferner den Tatbestand des illegalen Aufenthaltes im Sinne von Art. 23 Abs. 1 ANAG sowie: Nicolas Wisard, Les renvois et leur exécution en droit des étrangers et en droit d'asile, Basel/Frankfurt a.M. 1997, S. 102). Abgesehen von Fällen, in denen von vornherein kein Aufenthaltsrecht besteht, ist eine ausländische Person unter anderem auch dann zur Ausreise verpflichtet, wenn ihr eine Bewilligung oder die Verlängerung einer solchen verweigert wurde. Die zuständige Behörde hat in diesem Fall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einem Kanton auf die ganze Schweiz ausdehnen (vgl. Art. 12 Abs. 3 ANAG). Art. 17 Abs. 2 letzter Satz ANAV präzisiert diese Norm, indem er festhält, dass das Bundesamt "in der Regel die Ausdehnung der Wegweisung auf die ganze Schweiz" verfügt, "wenn nicht aus besonderen Gründen dem Ausländer Gelegenheit gegeben werden soll, in einem anderen Kanton um eine Bewilligung nachzusuchen".</w:t>
      </w:r>
    </w:p>
    <w:p>
      <w:r>
        <w:rPr>
          <w:b/>
        </w:rPr>
        <w:t>E. 4.2</w:t>
      </w:r>
    </w:p>
    <w:p>
      <w:r>
        <w:t>Das Bundesverwaltungsgericht hat sich in zahlreichen Urteilen zur Rechtsnatur der Ausdehnungsverfügung und den sich daraus ergebenden Konsequenzen auf die Kognition der Bundesbehörden geäussert. Nach seiner Rechtsprechung stellt die Ausdehnungsverfügung eine Massnahme dar, die einerseits als rein exekutorische Anordnung der Durchsetzung einer vorbestehenden gesetzlichen Verpflichtung dient - nämlich der Pflicht einer ausländischen Person, nach Wegfall ihres gesetzlichen oder auf einer Bewilligung beruhenden Aufenthaltsrechts, auszureisen -, und andererseits gegenüber der kantonalen Wegweisung streng akzessorisch ist. Hinzu kommt, dass die Zuständigkeit zur Legalisierung des Aufenthaltes nach der geltenden bundesstaatlichen Kompetenzausscheidung nicht beim Bund, sondern grundsätzlich bei den Kantonen liegt. Gestützt darauf erachtet das Bundesverwaltungsgericht in seiner ständigen Rechtsprechung Kritik am negativen Bewilligungsentscheid für unzulässig. Unzulässig sind darüber hinaus alle Vorbringen, die darauf hinauslaufen, dass die ausländische Person ein überwiegendes Interesse oder gar einen Anspruch auf eine Aufenthaltsregelung hat. Mit Aussicht auf Erfolg kann gegen die Ausdehnung nur vorgebracht werden, dass in einem Drittkanton um die Erteilung einer Bewilligung nachgesucht wurde, und dies auch nur dann, wenn dieser Drittkanton der ausländischen Person für die Dauer des Bewilligungsverfahren den Aufenthalt auf seinem Gebiet ausdrücklich gestattet (vgl. statt vieler die Urteile des Bundesverwaltungsgerichts C-6528/2007 vom 3. Februar 2010 E. 3.4 und C-3083/2008 vom 9. September 2008 E. 4 je mit Hinweisen).</w:t>
      </w:r>
    </w:p>
    <w:p>
      <w:r>
        <w:rPr>
          <w:b/>
        </w:rPr>
        <w:t>E. 4.3</w:t>
      </w:r>
    </w:p>
    <w:p>
      <w:r>
        <w:t>Mit dem in Rechtskraft erwachsenen Entscheid des Kantons Zürich, ihm keine Aufenthaltsbewilligung zu erteilen, fehlt es dem Beschwerdeführer an einem Rechtstitel für einen rechtmässigen Aufenthalt in der Schweiz. Es wird sodann in der Beschwerde nicht geltend gemacht, dass ein anderer Kanton bereit wäre, den Aufenthalt des Beschwerdeführers zu regeln. Daher besteht kein Spielraum, um vom Grundsatz der Ausdehnung der kantonalen Wegweisung auf die ganze Schweiz abzuweichen. Die Ausdehnung der kantonalen Wegweisung ist somit nicht zu beanstanden.</w:t>
      </w:r>
    </w:p>
    <w:p>
      <w:r>
        <w:rPr>
          <w:b/>
        </w:rPr>
        <w:t>E. 5</w:t>
      </w:r>
    </w:p>
    <w:p>
      <w:r>
        <w:t>Es bleibt zu prüfen, ob dem Vollzug der Wegweisung Hindernisse im Sinne von Art. 14a Abs. 2 bis 4 ANAG entgegenstehen und das zuständige Bundesamt deshalb gestützt auf Art. 14a Abs. 1 ANAG die vorläufige Aufnahme hätte verfügen müssen. In diesem Zusammenhang gilt es darauf hinzuweisen, dass die vorläufige Aufnahme als Ersatzmassnahme für den Vollzug der Wegweisung ausgestaltet ist. Sie tritt neben die Wegweisung, deren Bestand sie nicht tangiert, sondern vielmehr voraussetzt (vgl. dazu Botschaft des Bundesrates zum Bundesbeschluss über das Asylverfahren [AVB] vom 25. April 1990, BBl 1990 II 647; Walter Kälin, Grundriss des Asylverfahrens, Basel/ Frankfurt a. M. 1990, S. 201; vgl. statt vieler das bereits zitierte Urteil des Bundesverwaltungsgerichts C-6528/2007 vom 3. Februar 2010 E. 5).</w:t>
      </w:r>
    </w:p>
    <w:p>
      <w:r>
        <w:rPr>
          <w:b/>
        </w:rPr>
        <w:t>E. 6.1</w:t>
      </w:r>
    </w:p>
    <w:p>
      <w:r>
        <w:t>Der Beschwerdeführer beruft sich auf seine gute berufliche und soziale Integration und legt dar, dass der Vollzug der Wegweisung einen unzulässigen Eingriff in das von Art. 8 EMRK geschützte Privatleben darstellen und daher völkerrechtliche Verpflichtungen der Schweiz verletzen würde. Mit diesen Vorbringen zielt der Beschwerdeführer auf einen möglichen Anspruch auf Aufenthalt in der Schweiz ab. Solche Vorbringen sind, wie erwähnt, im vorliegenden Verfahren nicht zulässig, da die entsprechenden Umstände ausschliesslich Gegenstand des kantonalen Bewil-ligungsverfahrens bilden und bereits rechtskräftig entschieden wurden (vgl. das den Beschwerdeführer betreffende Urteil des Bundesgerichts vom 7. November 2007). Aus demselben Grund hat die Vorinstanz, entgegen dem in Ziffer 2.3 der Beschwerdeschrift erhobenen Vorwurf, den Anspruch des Beschwerdeführers auf rechtliches Gehör nicht verletzt.</w:t>
      </w:r>
    </w:p>
    <w:p>
      <w:r>
        <w:rPr>
          <w:b/>
        </w:rPr>
        <w:t>E. 6.2</w:t>
      </w:r>
    </w:p>
    <w:p>
      <w:r>
        <w:t>Vollzugshindernisse im Sinne von Art. 14a Abs. 2 bis 4 ANAG, welche den Vollzug der Wegweisung unzulässig, unzumutbar oder unmöglich erscheinen liessen, werden nicht geltend gemacht und sind auch aus den Akten nicht erkennbar.</w:t>
      </w:r>
    </w:p>
    <w:p>
      <w:r>
        <w:rPr>
          <w:b/>
        </w:rPr>
        <w:t>E. 7</w:t>
      </w:r>
    </w:p>
    <w:p>
      <w:r>
        <w:t>Aus diesen Erwägungen ergibt sich, dass die angefochtene Verfügung rechtmässig ist (Art. 49 VwVG). Die Beschwerde ist daher abzuweisen.</w:t>
      </w:r>
    </w:p>
    <w:p>
      <w:r>
        <w:rPr>
          <w:b/>
        </w:rPr>
        <w:t>E. 8</w:t>
      </w:r>
    </w:p>
    <w:p>
      <w:r>
        <w:t>Bei diesem Verfahrensausgang sind die Kosten dem Beschwerdeführer aufzuerlegen (Art. 63 Abs. 1 VwVG i.V.m. Art. 1 ff.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