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C-2348/2012 vom 28. August 2013</w:t>
      </w:r>
    </w:p>
    <w:p>
      <w:r>
        <w:t>Bundesverwaltungsgericht, 2013-08-28, DE</w:t>
      </w:r>
    </w:p>
    <w:p>
      <w:r>
        <w:rPr>
          <w:b/>
        </w:rPr>
        <w:t xml:space="preserve">Quelle: </w:t>
      </w:r>
      <w:r>
        <w:t>https://mcp.opencaselaw.ch/entscheid/bvger_C-2348_2012</w:t>
      </w:r>
    </w:p>
    <w:p>
      <w:r>
        <w:t>FR: TAF C-2348/2012 du 28 août 2013</w:t>
      </w:r>
    </w:p>
    <w:p>
      <w:r>
        <w:t>IT: TAF C-2348/2012 del 28 agosto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3.1</w:t>
      </w:r>
    </w:p>
    <w:p>
      <w:r>
        <w:t>Gemäss der im vorliegenden Fall anwendbaren Richtlinie 2008/115/EG vom 16. Dezember 2008 über gemeinsame Normen und Verfahren in den Mitgliedstaaten zur Rückführung illegal aufhältiger Dritt-staatsangehöriger (Rückführungsrichtlinie, RFRL, ABl. L 348 vom 24. De-zember 2008, S. 98-107; vgl. zur Geltung und Anwendbarkeit der RFRL in der Schweiz das Urteil des Bundesverwaltungsgerichts C-891/2012 vom 16. April 2013 E. 5.1 mit Hinweisen) geht bei illegal anwesenden Dritt-staatsangehörigen eine Wegweisung, die sofort vollstreckt wird oder bei der die betroffene Person nicht fristgerecht ausgereist ist, in der Regel mit einem schengenweiten Einreiseverbot einher (vgl. Erwägungsgrund 14 RFRL sowie Art. 3 Ziff. 6 i.V.m. Art. 11 Abs. 1 RFRL). Davon kann nur in rechtfertigungsbedürftigen Ausnahmefällen abgesehen werden (vgl. Art. 11 Abs. 3 RFRL). Zur Umsetzung dieser Verpflichtung ist die betroffene Person im Schengener Informationssystem (SIS) zur Einreiseverwei-gerung auszuschreiben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Damit wird dem Betroffenen die Einreise in das Hoheitsgebiet der Schengen-Mitgliedstaaten verboten (vgl. Art. 5 Abs. 1 Bst. d sowie Art. 13 Abs. 1 Schengener Grenzkodex [SGK, Abl. L 105 vom 13. April 2006, S. 1-32]). Die Mitgliedstaaten können dem Betroffenen aus wichtigen Gründen oder aufgrund internationaler Verpflichtungen die Einreise in das eigene Hoheitsgebiet gestatten bzw. ein Schengen-Visum mit räumlich beschränkter Gültigkeit ausstellen (vgl. Art. 13 Abs. 1 i.V.m. Art. 5 Abs. 4 Bst. c SGK; Art. 25 Abs. 1 Bst. a [ii] Visakodex, Abl. L 243 vom 15. Sep-tember 2009; Art. 11 Abs. 3 RFRL).</w:t>
      </w:r>
    </w:p>
    <w:p>
      <w:r>
        <w:rPr>
          <w:b/>
        </w:rPr>
        <w:t>E. 3.2</w:t>
      </w:r>
    </w:p>
    <w:p>
      <w:r>
        <w:t>Der Beschwerdeführer ist nicht Bürger eines Mitgliedstaates der Eu-ropäischen Union (vgl. nachfolgend E. 4.5 ). Aufgrund der Ausschreibung im SIS ist ihm untersagt, den Schengen-Raum zu betreten. Dieser Eingriff wird durch die Bedeutung des Falls gerechtfertigt (vgl. Art. 21 i.V.m. Art. 24 Abs. 2 f. SIS-II-VO). Zum Einen ist aufgrund der begangenen Delikte von einer erheblichen Gefährdung der öffentlichen Sicherheit und Ordnung auszugehen (s. hinten, E. 4.5). Zum Anderen hat die Schweiz die Interessen der Gesamtheit aller Schengen-Staaten zu wahren (vgl. BVGE 2011/48 E. 6.1) und war wegen der sofort vollzogenen Wegweisung des Beschwerdeführers, der die Einreisevoraussetzungen nicht mehr erfüllte und sich deshalb illegal in der Schweiz aufhielt, zum Erlass eines schengenweiten Einreiseverbots verpflichtet (vgl. Art. 3 Ziff. 6 i.V.m. Art. 11 und Erwägungsgrund 29 RFRL; Art. 5 Abs. 1 Bst. e SGK; Art. 5 Abs. 1 Bst. c AuG; Art. 9 Abs. 2 der Verordnung vom 24. Oktober 2007 über Zulassung, Aufenthalt und Erwerbstätigkeit (VZAE, SR 142.201); ein Ausnahmefall liegt nicht vor, s. hinten, E. 6).</w:t>
      </w:r>
    </w:p>
    <w:p>
      <w:r>
        <w:rPr>
          <w:b/>
        </w:rPr>
        <w:t>E. 3.3</w:t>
      </w:r>
    </w:p>
    <w:p>
      <w:r>
        <w:t>Die Voraussetzungen für die Ausschreibung im SIS sind somit erfüllt. 4.4.1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VZAE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4.3 Der Beschwerdeführer ist mit einer bulgarischen Staatsangehörigen verheiratet (siehe Sachverhalt Bst. F). Das FZA gelangt in seinem Fall jedoch nicht zur Anwendung, da er sich rechtsmissbräuchlich auf eine inhaltsleere Ehe beruft. 4.4 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Bundesverwaltungsgerichts C-8562/2010 vom 11. Oktober 2012 E. 6.4 mit Hinweis), was im Übrigen auch spezialgesetzlich unter Strafe gesetzt ist ("Täuschung der Behörden"; Art. 118 AuG). Mit rechtskräftigem Urteil des Bundesgerichts vom 2. September 2011 (vgl. dortige E. 2.2) wurde der Widerruf der Aufenthaltssbewilligung des Beschwerdeführers aufgrund des rechtsmissbräuchlichen Berufens auf eine inhaltsleere Ehe bestätigt (vgl. Art. 62 Bst. a i.V.m. Art. 51 Abs. 1 Bst. a AuG). Die Voraussetzungen für ein Einreiseverbot gemäss Art. 67 Abs. 2 Bst. a AuG sind somit erfüllt. 4.54.5.1 Hinzu kommt, dass der Beschwerdeführer in Ausschaffungshaft genommen werden musste. Dagegen bringt der Beschwerdeführer vor, er hätte die Schweiz freiwillig verlassen und eine Inhaftierung wäre nicht nötig gewesen, hätte er eine Ausreisefrist erhalten. Überdies habe er für die Weihnachtstage 2011-2012 ein Visum erhalten, um sich mit seinen Kindern im Kosovo aufzuhalten. Er habe somit davon ausgehen können, dass sein Aufenthalt in der Schweiz geregelt sei. Die Behörden hätten auch nicht reagiert, als er für Ostern 2012 ein Visum für den Kosovo beantragt habe. 4.5.2 Der in Art. 9 der Bundesverfassung der Schweizerischen Eidgenossenschaft vom 18. April 1999 (BV, SR 101)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(Urteil des Bundesgerichts 1C_402/2011 vom 2. Dezember 2011 E. 2.3 mit Hinweisen). Der Beschwerdeführer konnte aufgrund der erteilten Visa nicht darauf vertrauen, dass sein Aufenthalt in der Schweiz geregelt sei, denn mit rechtskräftigem Urteil des Bundesgerichts vom 20. September 2011 (vgl. dortige E. 2.2 i.V. mit Ziffer 1 des Dispositivs des Urteils vom 6. Juli 2011 des Verwaltungsgerichts des Kantons Bern) wurde der Widerruf der Aufenthaltsbewilligung des Beschwerdeführers aufgrund einer Scheinehe bestätigt. Der Beschwerdeführer konnte somit erkennen, dass der zuständigen Behörde bei der Erteilung von Visa Fehler unterlaufen war, bzw. eine Unachtsamkeit vorlag. 4.5.3 Was Verstösse gegen ausländerrechtliche Bestimmungen anbelangt, so ist für die Verhängung eines Einreiseverbots kein vorsätzliches Vorgehen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Bundesverwaltungsgerichts C 2206/2010 vom 2. Dezember 2011 E. 4.3 mit Hinweis). Mit rechtskräftigem Urteil des Bundesgerichts vom 20. September 2011 (vgl. dortige E. 2.2) wurde der Widerruf der Aufenthaltssbewilligung des Beschwerdeführers aufgrund einer Scheinehe bestätigt. Demzufolge kann der Beschwerdeführer sich nicht darauf berufen, die Behörden hätten ihm keine neue Ausreisefrist angesetzt. 4.5.4 Somit hat er auch diesbezüglich, wie auch aufgrund der Verurteilungen, aufgeführt in Bst. C., D., E. und G., im Sinne einer Motivsubstitution (bei massgeblichem Sachverhalt zum Zeitpunkt der Urteilsfällung [vgl. E. 2 in fine] ist diese Ergänzung der vorinstanzlichen Begründung durchaus möglich und auch zulässig [vgl. Urteil des Bundesverwaltungsgerichts C-4425/2011 vom 18. Januar 2013 E. 8]) Gründe für die Verhängung einer Fernhaltemassnahme gesetzt (vgl. Art. 67 Abs. 1 Bst. a AuG und Art. 67 Abs. 2 Bst. a und c AuG). 5.Es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 5.1 Der Beschwerdeführer hat durch sein Verhalten zweifelsohne zu schweren Klagen Anlass gegeben. Durch das Eingehen einer Scheinehe bzw. das Festhalten an einer Ehe zu ehefremden Zwecken hat er die Behörden getäuscht und auf diese Weise ein Aufenthaltsrecht erwirkt bzw. verlängert. Ein gewichtiges öffentliches Interesse an der Fernhaltung des Beschwerdeführers ergibt sich deshalb ohne weiteres aus seiner Qualifizierung als unerwünschte Person.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des Beschwerdeführers. 5.2 An persönlichen Interessen bringt der Beschwerdeführer vor, er unterhalte zu seinen drei minderjährigen Kindern eine sehr enge Beziehung. Diese würden bei ihrer Mutter leben und hätten Anspruch darauf, eine persönliche Beziehung mit ihrem Vater zu führen, welche durch das Einreiseverbot erschwert würde. 5.3 5.3.1 Einschränkungen des Privat- bzw. Familienlebens des Beschwerde-führers können vorliegend aufgrund sachlicher und funktioneller Unzu-ständigkeit des Bundesverwaltungsgerichts nicht Verfahrensgegenstand sein, soweit sie auf das Fehlen eines dauerhaften Aufenthaltsrechts in der Schweiz zurückzuführen sind (vgl. Urteil des Bundesverwaltungsgerichts C-4243/2012 vom 19. Juni 2013 E. 6.3.2 mit weiteren Hinweisen). Der Beschwerdeführer verlor seine Aufenthaltsbewilligung Ende 2011 und wurde im April 2012 ausgeschafft (vgl. Sachverhalt Bst. F und K). Die Wohnsitznahme in der Schweiz wie auch die Pflege regelmässiger persönlicher Kontakte zu seinen hier lebenden Kindern scheitern daher grundsätzlich bereits an einem fehlenden Anwesenheitsrecht hierzulande. Die Relevanz hinsichtlich der EMRK und der des Übereinkommens vom 20. November 1989 über die Rechte des Kindes (KRK, SR 0.107) wurden denn auch im Aufenthaltsverfahren eingehend geprüft (vgl. Urteil des Verwaltungsgerichts des Kantons Bern vom 6. Juli 2011 E. 5.2). Darauf kann an dieser Stelle verwiesen werden. 5.3.2 Dem Beschwerdeführer werden durch das Einreiseverbot Besuchs-aufenthalte bei seinen Kindern in der Schweiz nicht schlichtweg untersagt. Es steht ihm offen, aus wichtigen Gründen die zeitweilige Suspension der angeordneten Fernhaltemassnahme zu beantragen (Art. 67 Abs. 5 AuG). Diese Suspension wird freilich praxisgemäss jeweils nur für eine kurze und klar begrenzte Zeit gewährt (vgl. Urteil des Bundesverwaltungsgerichts C-2681/2010 vom 6. Mai 2011 E. 6.3 mit Hinweis). Sodann ist davon auszugehen, dass der Kontakt mit den Kindern während der Dauer des Einreiseverbots mittels Telefon und moderner Kommunikationsmittel aufrecht erhalten werden kann. Weil ein Einreiseverbot nicht mittels Suspensionen ausgehöhlt werden darf, kann ein Familienleben freilich dennoch nur in eingeschränktem Rahmen stattfinden (vgl. BVGE 2013/4). Die mit dem dreijährigen Einreiseverbot einhergehenden Einschränkungen hat der Beschwerdeführer jedoch hinzunehmen, zumal diese zur Verhütung von Straftaten und zum Schutz der öffentlichen Sicherheit erforderlich sind (vgl. Art. 8 Abs. 2 EMRK). 5.3.3 Die geltend gemachten privaten Interessen vermögen angesichts des erheblichen öffentlichen Fernhalteinteresses weder eine Aufhebung noch eine Reduktion der Dauer des Einreiseverbots zu rechtfertigen.</w:t>
      </w:r>
    </w:p>
    <w:p>
      <w:r>
        <w:rPr>
          <w:b/>
        </w:rPr>
        <w:t>E. 6</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7.Zusammenfassend ergibt sich, dass die angefochtene Verfügung im Lichte von Art. 49 VwVG nicht zu beanstanden ist. Die Beschwerde ist somit abzuweisen. 8.Entsprechend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