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C-2345/2009 vom 13. März 2012</w:t>
      </w:r>
    </w:p>
    <w:p>
      <w:r>
        <w:t>Bundesverwaltungsgericht, 2012-03-13, DE</w:t>
      </w:r>
    </w:p>
    <w:p>
      <w:r>
        <w:rPr>
          <w:b/>
        </w:rPr>
        <w:t xml:space="preserve">Quelle: </w:t>
      </w:r>
      <w:r>
        <w:t>https://mcp.opencaselaw.ch/entscheid/bvger_C-2345_2009</w:t>
      </w:r>
    </w:p>
    <w:p>
      <w:r>
        <w:t>FR: TAF C-2345/2009 du 13 mars 2012</w:t>
      </w:r>
    </w:p>
    <w:p>
      <w:r>
        <w:t>IT: TAF C-2345/2009 del 13 marzo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Anfechtung legitimiert (Art. 48 Abs. 1 VwVG). Auf die frist- und formgerecht eingereichte Beschwerde ist daher einzutreten (Art. 49 ff. VwVG).</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 sowie Urteil des Bundesverwaltungsgerichts A-2682/2007 vom 7. Oktober 2010 E. 1.2 und 1.3).</w:t>
      </w:r>
    </w:p>
    <w:p>
      <w:r>
        <w:rPr>
          <w:b/>
        </w:rPr>
        <w:t>E. 3</w:t>
      </w:r>
    </w:p>
    <w:p>
      <w:r>
        <w:t>Strittig ist vorliegend die Höhe des vom BFM zu Gunsten des Bundes vereinnahmten Betrages, welcher sich laut angefochtener Abrechnung vom 6. März 2009 auf Fr. 15'000.- beläuft. Seiner Auffassung nach müsste der Beschwerdeführer aber lediglich Fr. 8'450.- zurückerstatten (nämlich eine Pauschale von Fr. 8'400.- für die während des Asylverfahrens verursachten Kosten und die Kontoeröffnungsgebühr von Fr. 50.-), es geht mithin um einen Differenzbetrag von Fr. 6'550.-. Gegenstand des hier zu beurteilenden Verfahrens bildet denn die Frage, ob das Sicherheitskonto Nr. _______ korrekt abgerechnet und aufgelöst wurde.</w:t>
      </w:r>
    </w:p>
    <w:p>
      <w:r>
        <w:rPr>
          <w:b/>
        </w:rPr>
        <w:t>E. 4.1</w:t>
      </w:r>
    </w:p>
    <w:p>
      <w:r>
        <w:t>Am 1. Januar 2008 trat das zweite Paket der Asylgesetzrevision vom 16. Dezember 2005 in Kraft, mit dem durch entsprechende Änderungen des Asylgesetzes vom 26. Juni 1998 (AsylG, SR 14.31) und des auf denselben Zeitpunkt in Kraft gesetzten Ausländergesetzes ein Systemwechsel von der individuellen Sicherheitsleistungs- und Rückerstattungspflicht zur Sonderabgabe vollzogen wurde.</w:t>
      </w:r>
    </w:p>
    <w:p>
      <w:r>
        <w:rPr>
          <w:b/>
        </w:rPr>
        <w:t>E. 4.2</w:t>
      </w:r>
    </w:p>
    <w:p>
      <w:r>
        <w:t>Der 2. Abschnitt des 5. Kapitels des Asylgesetzes in seiner Fassung vom 26. Juni 1998, der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 oder Flüchtling eine Aufenthaltsbewilligung erhält (Bst. b) oder als Schutzbedürftige eine Niederlassungsbewilligung erhält oder sich seit mindestens zehn Jahren in der Schweiz aufhält (Bst. c). Man spricht in diesem Zusammenhang von der Schlussabrechnung über das Sicherheitskonto. Soweit im Rahmen der Schlussabrechnung die bezogenen Fürsorgeleistungen aus den Mitteln des Sicherheitskontos nicht gedeckt werden können, gelangen die ordentlichen Regeln über die Rückerstattung der wirtschaftlichen Sozialhilfe zur Anwendung. So will es Art. 9 Abs. 4 der Asylverordnung 2 vom 11. August 1999 über Finanzierungsfragen (AsylV 2, SR 142.312) in ihrer ursprünglichen, bis 31. Dezember 2007 gültig gewesenen Fassung (AS 1999 2318). Die Asylverordnung 2 in der erwähnten Fassung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welche im Wesentlichen unter denselben Voraussetzungen erhoben werden soll,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5.1</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zunächst als Asylsuchender, später als vorläufig aufgenommene Person. Beim Statuswechsel zur vorläufigen Aufnahme wurde für sein Sicherheitskonto eine Zwischenabrechnung erstellt. Darin wurden die bis zu diesem Zeitpunkt rückerstattungspflichtigen Kosten wie erwähnt auf Fr. 8'450.- festgesetzt und für die Schlussabrechnung vorgemerkt. Zur Schlussabrechnung kam es mangels Verwirklichung eines Schlussabrechnungsgrundes nicht mehr. Das BFM sah sich daher nach dem Inkrafttreten des neuen Rechts veranlasst, das Sicherheitskonto gestützt auf Abs. 6 bis 8 der Übergangsbestimmungen zur Änderung der AsylV 2 aufzulösen. Zu diesem Zweck erliess es die angefochtene Verfügung. Darin wurden vom fraglichen Sicherheitskonto, welches einen Stand von Fr. 30'230.60 (laut Entwurf vom 14. Januar 2009 sind es Fr. 30'323.30) aufwies, noch Fr. 6'550.- zu Gunsten des Bundes eingezogen. In Bezug auf das Restguthaben ordnete die Vorinstanz die Auszahlung an den Beschwerdeführer an. Der vereinnahmte Betrag von Fr. 6'550.- versteht sich dabei als Differenz zwischen dem Maximalbetrag der Sonderabgabe von Fr. 15'000.- einerseits und dem im Rahmen der Zwischenabrechnung zwecks Kostendeckung bereits eingezogenen Betrag von Fr. 8'450.- andererseits.</w:t>
      </w:r>
    </w:p>
    <w:p>
      <w:r>
        <w:rPr>
          <w:b/>
        </w:rPr>
        <w:t>E. 5.2</w:t>
      </w:r>
    </w:p>
    <w:p>
      <w:r>
        <w:t>Das Bundesverwaltungsgericht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 Der Beschwerdeführer nimmt in seinem nur rudimentär begründeten Rechtsmittel wenig Bezug auf die angefochtene Verfügung. Soweit er argumentiert, er habe als vorläufig Aufgenommener keine Sozialhilfe mehr beansprucht bzw. insofern er faktisch eine individuelle Festlegung der rückerstattungspflichtigen Kosten verlangt, verkennt er, dass es bei der Sonderabgabe nicht um die Verrechnung von Sozialhilfekosten geht, mit denen eine einzelne Person unterstützt worden ist, sondern um die Deckung derjenigen Kosten, welche die Gesamtheit aller Abgabepflichtigen als Gruppe verursacht (vgl. Art. 86 Abs. 1 zweiter Satz AsylG sowie E. 4.3 vorstehend). Die eingereichten Bestätigungen der zuständigen örtlichen Sozialhilfebehörde und des SRK erweisen sich daher als unbehelflich.</w:t>
      </w:r>
    </w:p>
    <w:p>
      <w:r>
        <w:rPr>
          <w:b/>
        </w:rPr>
        <w:t>E. 5.3</w:t>
      </w:r>
    </w:p>
    <w:p>
      <w:r>
        <w:t>Gemäss Ziffer 1 des Dispositivs der angefochtenen Verfügung vom 6. März 2009 beträgt der Kontostand Fr. 30'230.60. Im Abrechnungsentwurf vom 14. Januar 2009 figuriert derweil ein Kontostand von Fr. 30'323.30. Die Differenz erklärt sich laut Kontoauszug vom 12. Januar 2009 daraus, dass in dem um Fr. 92.70 höheren Betrag des Entwurfs noch Zinsen von Fr. 112.70 (abzüglich Fr. 20.- Postfinance-Gebühren) mitenthalten sind. Diese hätten dem Beschwerdeführer auch in der definitiven Fassung gutgeschrieben und ausbezahlt werden müssen. Soweit nicht bereits geschehen, hat dies die Vorinstanz nachzuholen. Weil das an den Kontoinhaber zu überweisende Restguthaben nicht beziffert wird (vgl. Ziffer 3 des Dispositivs), bedarf die Berichtigung besagten (Rechnungs-)fehlers keiner entsprechenden Anpassungen.</w:t>
      </w:r>
    </w:p>
    <w:p>
      <w:r>
        <w:rPr>
          <w:b/>
        </w:rPr>
        <w:t>E. 6</w:t>
      </w:r>
    </w:p>
    <w:p>
      <w:r>
        <w:t>Abschliessend ist festzuhalten, dass die angefochtene Verfügung im Lichte von Art. 49 VwVG nicht zu beanstanden ist. Die Beschwerde ist deshalb abzuweisen.</w:t>
      </w:r>
    </w:p>
    <w:p>
      <w:r>
        <w:rPr>
          <w:b/>
        </w:rPr>
        <w:t>E. 7</w:t>
      </w:r>
    </w:p>
    <w:p>
      <w:r>
        <w:t>Entsprechend dem Ausgang des Verfahrens sind die Kosten dem Beschwerdeführer aufzuerlegen (vgl. Art. 63 Abs.1 VwVG i.V.m. Art. 1 ff.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