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C-2344/2009 vom 12. Oktober 2010</w:t>
      </w:r>
    </w:p>
    <w:p>
      <w:r>
        <w:t>Bundesverwaltungsgericht, 2010-10-12, FR</w:t>
      </w:r>
    </w:p>
    <w:p>
      <w:r>
        <w:rPr>
          <w:b/>
        </w:rPr>
        <w:t xml:space="preserve">Quelle: </w:t>
      </w:r>
      <w:r>
        <w:t>https://mcp.opencaselaw.ch/entscheid/bvger_C-2344_2009</w:t>
      </w:r>
    </w:p>
    <w:p>
      <w:r>
        <w:t>FR: TAF C-2344/2009 du 12 octobre 2010</w:t>
      </w:r>
    </w:p>
    <w:p>
      <w:r>
        <w:t>IT: TAF C-2344/2009 del 12 ottobre 2010</w:t>
      </w:r>
    </w:p>
    <w:p>
      <w:pPr>
        <w:pStyle w:val="Heading2"/>
      </w:pPr>
      <w:r>
        <w:t>Regeste</w:t>
      </w:r>
    </w:p>
    <w:p>
      <w:r>
        <w:t>Assurance-invalidité (AI)</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L'Accord entre la Suisse et la Communauté européenne et ses États membres sur la libre circulation des personnes du 21 juin 1999 (ALCP, RS 0.142.112.681), est entré en vigueur le 1er juin 2002. À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États (art. 6 du Règlement), et enfin le Règlement (CEE) n° 574/72 du Conseil du 21 mars 1972, relatif à l'application du Règlement (CEE) n° 1408/71 (RS 0.831.109.268.11). Selon l'art. 3 du Règlement (CEE) n° 1408/71, les ressortissants des États membres de la Communauté européenne et les ressortissants suisses bénéficient de l'égalité de traitement.</w:t>
      </w:r>
    </w:p>
    <w:p>
      <w:r>
        <w:rPr>
          <w:b/>
        </w:rPr>
        <w:t>E. 2.2</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2.3</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w:t>
      </w:r>
    </w:p>
    <w:p>
      <w:r>
        <w:rPr>
          <w:b/>
        </w:rPr>
        <w:t>E. 4</w:t>
      </w:r>
    </w:p>
    <w:p>
      <w:r>
        <w:t>Le recourant conteste la validité matérielle de la décision de l'OAIE du 2 mars 2009, dans la mesure où il prétend avoir droit à une rente d'invalidité.</w:t>
      </w:r>
    </w:p>
    <w:p>
      <w:r>
        <w:rPr>
          <w:b/>
        </w:rPr>
        <w:t>E. 5</w:t>
      </w:r>
    </w:p>
    <w:p>
      <w:r>
        <w:t>Tout requérant doit remplir cumulativement les conditions suivantes pour avoir droit à une rente de l'assurance-invalidité suisse: - être invalide au sens de la LPGA/LAI et - avoir versé des cotisations à l'AI suisse durant au moins trois années (art. 36 LAI). Dans ce cadre, les cotisations versées à une assurance sociale assimilée d'un État membre de l'Union européenne (UE) ou de l'Association européenne de libre échange (AELE) peuvent également être prises en considération, à condition qu'une année au moins de cotisations puisse être comptabilisée en Suisse (FF 2005 p. 4065; art. 45 du règlement 1408/71). En l'espèce, le recourant a versé des cotisations à l'AI pendant plus de trois années au total (pce 32) et remplit, partant, la condition de la durée minimale de cotisations. Il reste dès lors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6.3</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7.1</w:t>
      </w:r>
    </w:p>
    <w:p>
      <w:r>
        <w:t>Le recourant a travaillé de nombreuses années en Suisse. Dès 1993, il a créé sa propre société et est devenu maçon indépendant au Espagne. Depuis juin 2006, il a travaillé exclusivement dans son pays et ce jusqu'au 29 novembre 2006, date de son accident non professionnel. Jusqu'à cette date, il a pu travailler 40 heures par semaine sans limitation de santé. Le Tribunal peut donc retenir qu'au moins jusqu'au 29 novembre 2006, le recourant n'a pas présenté d'invalidité au sens de la législation suisse.</w:t>
      </w:r>
    </w:p>
    <w:p>
      <w:r>
        <w:rPr>
          <w:b/>
        </w:rPr>
        <w:t>E. 7.2</w:t>
      </w:r>
    </w:p>
    <w:p>
      <w:r>
        <w:t>Selon les dires du recourant, il a interrompu son travail du 30 décembre 2006 au 20 décembre 2007. Il est à préciser que selon la déclaration fiscale, l'entreprise du recourant a quand même fait EUR 2559.78 de bénéfice en 2007.</w:t>
      </w:r>
    </w:p>
    <w:p>
      <w:r>
        <w:rPr>
          <w:b/>
        </w:rPr>
        <w:t>E. 7.3</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C'est la méthode dite ordinaire de comparaison des revenus (cf. arrêt du Tribunal fédéral I 288/06 du 20 avril 2007 consid. 3.2.2). Si l'on ne peut déterminer ou évaluer sûrement les revenus à comparer avant et après invalidité chez un assuré exerçant une activité lucrative notamment indépendante, il faut procéder à une comparaison des activités et évaluer le degré d'invalidité d'après l'incidence de la capacité de rendement amoindrie sur la situation économique concrète. C'est la méthode dite extraordinaire d'évaluation de l'invalidité qui requiert de déterminer quels sont les empêchements provoqués par la maladie ou l'infirmité et d'apprécier séparément les effets de ces empêchements s sur la capacité de gain. Une certaine diminution de la capacité de rendement fonctionnelle peut certes, dans le cas d'une personne active, entraîner une perte de gain de la même importance, mais n'a pas nécessairement cette conséquence. Si l'incidence réelle effective n'était pas prise en compte de façon déterminante, on violerait le principe selon lequel l'invalidité, pour cette catégorie d'assurés, doit être déterminée d'après l'incapacité de gain, en effet, il n'y a pas toujours de corrélation entre des limitations physiques et une diminution de la capacité de gain (cf. ATF 128 V 29 consid. 1; arrêt du Tribunal fédéral I 288/06 du 20 avril 2007 consid. 3.2.4), notamment s'agissant d'activités administratives ou pouvant être en partie déléguées à des auxiliaires.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w:t>
      </w:r>
    </w:p>
    <w:p>
      <w:r>
        <w:t>En l'espèce et selon l'avis unanime des médecins de l'INSS et de l'OAIE, il est établi que le recourant souffre d'un status après tassement modéré de la vertèbre lombaire L2 et d'un status après fracture de la cheville gauche traitée par ostéosynthèse.</w:t>
      </w:r>
    </w:p>
    <w:p>
      <w:r>
        <w:rPr>
          <w:b/>
        </w:rPr>
        <w:t>E. 9.1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9.2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10</w:t>
      </w:r>
    </w:p>
    <w:p>
      <w:r>
        <w:t>Dans sa décision entreprise et sa réponse au recours, l'autorité inférieure a estimé que le recourant ne présentait pas une incapacité de travail suffisante pour ouvrir le droit à une rente, dans la mesure où l'activité professionnelle de maçon est exigible à 100 pour cent. Le recourant a en substance avancé que l'activité de maçon exigeait de lui de courir, de sauter, de marcher en équilibre ce qui correspondait aux limites fonctionnelles décrites par le médecin de l'INSS.</w:t>
      </w:r>
    </w:p>
    <w:p>
      <w:r>
        <w:rPr>
          <w:b/>
        </w:rPr>
        <w:t>E. 10.1</w:t>
      </w:r>
    </w:p>
    <w:p>
      <w:r>
        <w:t>Il ressort du rapport E 213 du 11 août 2008 que bien qu'ayant souffert d'une fracture de l'extrémité antérieure de la vertèbre lombaire L2 sans atteinte à la partie postérieure et d'une fracture bimalléolaire de la cheville gauche traitée par ostéosynthèse, le recourant peut effectuer son travail de maçon à temps complet, il ne présente pas d'incapacité permanente et les seuls déficits fonctionnels sont limités aux activités qui requièrent de courir et de sauter de manière continue.</w:t>
      </w:r>
    </w:p>
    <w:p>
      <w:r>
        <w:rPr>
          <w:b/>
        </w:rPr>
        <w:t>E. 10.2</w:t>
      </w:r>
    </w:p>
    <w:p>
      <w:r>
        <w:t>Selon le médecin de l'OAIE, dans sa prise de position du 20 décembre 2008, le recourant souffre de status après tassement modéré de L2 et de status après fracture de la cheville gauche traitée par ostéosynthèse qui sont sans répercussion sur la capacité de travail. Il a estimé que le recourant n'avait aucune incapacité de travail. Les atteintes fonctionnelles ne concernent qu'une limitation de la flexion au niveau lombaire et une légère limitation au niveau de la cheville gauche. Selon ce médecin, ces limitations sont tout à fait minimes et restent compatibles avec l'activité de maçon.</w:t>
      </w:r>
    </w:p>
    <w:p>
      <w:r>
        <w:rPr>
          <w:b/>
        </w:rPr>
        <w:t>E. 10.3</w:t>
      </w:r>
    </w:p>
    <w:p>
      <w:r>
        <w:t>Dans son opposition du 12 février 2009, son recours du 7 avril 2009 et sa réplique du 14 juillet 2009, le recourant a invoqué les difficultés physiques inhérentes à sa profession (courir, sauter, marcher en équilibre) ainsi que sa capacité de gain amoindrie, par le fait que ses soucis de santé affectaient la réalisation de la majorité de ses travaux, et les charges consécutives à son entreprise (notamment concernant ses employés). Il n'a toutefois produit aucun nouveau document médical susceptible de démontrer son invalidité.</w:t>
      </w:r>
    </w:p>
    <w:p>
      <w:r>
        <w:rPr>
          <w:b/>
        </w:rPr>
        <w:t>E. 10.4</w:t>
      </w:r>
    </w:p>
    <w:p>
      <w:r>
        <w:t>Rien au dossier ne permet de mettre en doute l'appréciation et les conclusions de la prise de position médicale du 20 décembre 2008 du service médical de l'OAIE, confirmées par le rapport E 213 du 11 août 2008, selon laquelle l'intéressé a une capacité de travail de 100 pour cent dans son activité habituelle. Au vu de ce qui précède, la Cour de céans peut considérer, à l'exception de quelques mois après l'accident de novembre 2006, que le recourant est apte à exercer son activité habituelle à 100 pour cent.</w:t>
      </w:r>
    </w:p>
    <w:p>
      <w:r>
        <w:rPr>
          <w:b/>
        </w:rPr>
        <w:t>E. 10.5</w:t>
      </w:r>
    </w:p>
    <w:p>
      <w:r>
        <w:t>Une comparaison du revenu sans invalidité avec le revenu d'invalide est donc superflue et ne se justifie pas. En effet, le recourant aurait pu continuer son activité habituelle dans une mesure excluant le droit à une rente d'invalidité suisse.</w:t>
      </w:r>
    </w:p>
    <w:p>
      <w:r>
        <w:rPr>
          <w:b/>
        </w:rPr>
        <w:t>E. 11</w:t>
      </w:r>
    </w:p>
    <w:p>
      <w:r>
        <w:t>Il s'en suit que la décision du 2 mars 2009 doit être confirmée et le recours rejeté.</w:t>
      </w:r>
    </w:p>
    <w:p>
      <w:r>
        <w:rPr>
          <w:b/>
        </w:rPr>
        <w:t>E. 12</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l'assurée, ainsi que son âge, ne sont pas des facteurs supplémentaires propres à influencer l'étendue de l'invalidité (ATF 107 V 21 consid. 2c; RCC 1991 p. 333 consid. 3c, 1989 p. 325 consid. 2b, 1982 p. 34 consid. 2c).</w:t>
      </w:r>
    </w:p>
    <w:p>
      <w:r>
        <w:rPr>
          <w:b/>
        </w:rPr>
        <w:t>E. 13.1</w:t>
      </w:r>
    </w:p>
    <w:p>
      <w:r>
        <w:t>Le recours étant manifestement infondé (voir en particulier consid. 10), la cause peut être traitée par le juge unique (art. 85bis al. 3 de la loi fédérale du 20 décembre 1946 sur l'assurance-vieillesse et survivants [LAVS, RS 831.10] applicable par le renvoi de l'art. 69 al. 2 LAI).</w:t>
      </w:r>
    </w:p>
    <w:p>
      <w:r>
        <w:rPr>
          <w:b/>
        </w:rPr>
        <w:t>E. 13.2</w:t>
      </w:r>
    </w:p>
    <w:p>
      <w:r>
        <w:t>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173.320.02]). Ce montant est compensé par l'avance de frais du même montant déjà versée.</w:t>
      </w:r>
    </w:p>
    <w:p>
      <w:r>
        <w:rPr>
          <w:b/>
        </w:rPr>
        <w:t>E. 13.3</w:t>
      </w:r>
    </w:p>
    <w:p>
      <w:r>
        <w:t>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