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C-233/2008 vom 3. März 2010</w:t>
      </w:r>
    </w:p>
    <w:p>
      <w:r>
        <w:t>Bundesverwaltungsgericht, 2010-03-03, IT</w:t>
      </w:r>
    </w:p>
    <w:p>
      <w:r>
        <w:rPr>
          <w:b/>
        </w:rPr>
        <w:t xml:space="preserve">Quelle: </w:t>
      </w:r>
      <w:r>
        <w:t>https://mcp.opencaselaw.ch/entscheid/bvger_C-233_2008</w:t>
      </w:r>
    </w:p>
    <w:p>
      <w:r>
        <w:t>FR: TAF C-233/2008 du 3 mars 2010</w:t>
      </w:r>
    </w:p>
    <w:p>
      <w:r>
        <w:t>IT: TAF C-233/2008 del 3 marzo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5 novembre 2004.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5 novembre 2003 (ossia 12 mesi precedenti la presentazione della domanda), oppure se un diritto alla rendita sia sorto tra tale data e il 21 novembre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Nel gravame il ricorrente rimprovera all'autorità inferiore di non avere indicato il parametro che è stato ritenuto per escludere un'incapacità lavorativa di livello pensionabile - doglianza infondata per i motivi di cui al considerando 11, in particolare 11.3, della presente sentenza - e di non avergli dato la possibilità d'esaminare i risultati del supplemento d'istruttoria sulle sue condizioni di salute imposto dal giudizio (del 14 novembre 2006) della Commissione federale di ricorso in materia d'assicurazione per la vecchiaia, i superstiti e l'invalidità per le persone residenti all'estero. Quest'ultima censura non appare del tutto priva di fondamento nella misura in cui il ricorrente non è stato reso edotto dall'autorità inferiore in particolare del contenuto essenziale della presa di posizione del servizio medico dell'UAIE del 18 settembre 2007 (doc. 52), benché la medesima avesse la sua importanza nella determinazione dei lavori ancora ragionevolmente esigibili per l'assicurato (v., sulla questione dell'esigibilità di un'attività lavorativa, DTF 125 V 256 consid. 4, DTF 115 V 133 consid. 261 e sentenze del Tribunale federale I 765/04 del 7 novembre 2005 consid. 2 e I 534/05 del 10 novembre 2006 consid. 2). Giova tuttavia osservare, da un lato, che il ricorrente non ha chiesto l'edizione degli atti di causa una volta ricevuto il progetto di decisione dell'UAIE del 2 ottobre 2007, benché già all'epoca fosse rappresentato da un mandatario professionale, e, dall'altro lato, che nella risposta al ricorso del 17 marzo 2008 - trasmessa all'insorgente, unitamente al rapporto del 18 settembre 2007 del servizio medico dell'UAIE (doc. 52), mediante provvedimento di questo Tribunale del 20 marzo 2008 (cfr. doc. TAF 4) - l'autorità inferiore ha comunque provveduto a pronunciarsi esplicitamente sulla questione dell'esigibilità dell'attività di operaio esercitata dal ricorrente ed ha pure indicato il mezzo di prova (doc. 52) su cui ha fondato la propria valutazione. Peraltro, al ricorrente è stata data facoltà in sede di ricorso - dinanzi ad un'autorità, il Tribunale amministrativo federale, che gode di piena cognizione - di pronunciarsi in merito alle ragioni presentate dall'autorità inferiore nella risposta al ricorso. Con atto inoltrato il 28 aprile 2008, quest'ultimo ha presentato la propria replica, con la conseguenza che quand'anche nel caso di specie si volesse, per denegata ipotesi, ravvisare un'eventuale - e peraltro lieve in considerazione delle circostanze del caso di specie - violazione del diritto d'essere sentito del ricorrente da parte dell'autorità inferiore, detta violazione dovrebbe considerarsi siccome sanata in questa sede. In siffatte circostanze, un annullamento della decisione impugnata costituirebbe in ogni caso una vana formalità. Occorre altresì rammentare che la procedura in materia d'assicurazione per l'invalidità è retta pure dai principi della celerità (DTF 126 V 244) e della semplicità (cfr. sentenza del Tribunale federale 9C_162/2007 del 3 aprile 2008 consid. 2.3 e relativi riferimenti).</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6.4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125 V 256 consid. 4,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9.2</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Nel caso di specie, occorre rilevare che dalla documentazione medica agli atti emerge che il ricorrente soffre segnatamente di spondilodiscoartrosi, esiti frattura polso sinistro, sindrome del tunnel carpale a destra, ipertrofia linfatica del rinofaringe, nevrosi ansiosa (cfr. perizia particolareggiata E 213 del 16 maggio 2007 pag. 8 [doc. 49]). 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in media durante un anno.</w:t>
      </w:r>
    </w:p>
    <w:p>
      <w:r>
        <w:rPr>
          <w:b/>
        </w:rPr>
        <w:t>E. 11.1</w:t>
      </w:r>
    </w:p>
    <w:p>
      <w:r>
        <w:t>Occorre quindi determinare se il ricorrente ha subito nel periodo determinante (cfr. consid. 3.3 del presente giudizio), e senza interruzione notevole, un'incapacità lavorativa media di almeno il 40% durante un anno giusta l'art. 29 cpv. 1 lett. b LAI.</w:t>
      </w:r>
    </w:p>
    <w:p>
      <w:r>
        <w:rPr>
          <w:b/>
        </w:rPr>
        <w:t>E. 11.2</w:t>
      </w:r>
    </w:p>
    <w:p>
      <w:r>
        <w:t>Dalle carte processuali emerge che, dopo il rimpatrio, il ricorrente ha ancora esercitato un'attività lucrativa a tempo pieno (doc. 10). In particolare, da febbraio del 2004 è stato alle dipendenze dell'impresa B._______ (società di costruzioni e gestioni), come "operaio comune" in ragione di 40 ore alla settimana. Ha lavorato a tempo pieno almeno fino al 30 giugno 2007, data di compilazione del formulario del datore di lavoro, in un'attività che il datore di lavoro stesso ha definito siccome pesante (doc. 38, pto 3a).</w:t>
      </w:r>
    </w:p>
    <w:p>
      <w:r>
        <w:rPr>
          <w:b/>
        </w:rPr>
        <w:t>E. 11.3</w:t>
      </w:r>
    </w:p>
    <w:p>
      <w:r>
        <w:t>Da queste considerazioni discende che al momento in cui è stata resa la decisione amministrativa litigiosa, vale a dire il 21 novembre 2007, non era ancora decorso il termine di carenza di un anno secondo l'art. 29 cpv. 1 lett. b LAI (cf. sentenza del Tribunale federale delle assicurazioni I 148/00 del 30 giugno 2000 consid. 2b). Già per questo motivo il ricorso deve essere respinto.</w:t>
      </w:r>
    </w:p>
    <w:p>
      <w:r>
        <w:rPr>
          <w:b/>
        </w:rPr>
        <w:t>E. 12.1</w:t>
      </w:r>
    </w:p>
    <w:p>
      <w:r>
        <w:t>Per sovrabbondanza, e quanto alla questione dell'esigibilità dell'attività di operaio svolta dal ricorrente fino al 30 giugno 2007, quest'ultimo sostiene che la stessa è inesigibile (v. in particolare doc. 39 pag. 5). Avrebbe continuato ad esercitare il suo lavoro, nonostante lo stato di salute deficitario, solo per potere mantenere decorosamente la sua famiglia. Nei suoi rapporti del 18 settembre 2007 e del 9 giugno 2008, la dott.ssa D._______ ha rilevato, sulla base della documentazione medica agli atti, che il ricorrente è affetto da spondilodiscoartrosi cervicale e lombare a lieve incidenza funzionale senza deficit neurologici, esiti di frattura al polso sinistro, sindrome del tunnel carpale a destra, tendinopatia del flessore del 3° dito (mano sinistra), artrosi alla spalla destra, sindrome depressiva reattiva, rinite allergica primaverile ed ipertrofia linfatica del rinofaringe. Secondo detto medico, l'insorgente non è tuttavia affetto da alcuna patologia invalidante né di natura osteoarticolare né di natura psichica, trattandosi d'affezioni di poca gravità, conclusione avvalorata pure dal fatto che lo stesso ha continuato a lavorare a tempo pieno dal 2004, in un'attività che non è stata alleggerita (cfr. doc. 38), senza che vi siano state interruzioni prolungate dal lavoro (ad eccezione di quella da ottobre del 2003 al 9 gennaio 2004). Conseguentemente, secondo la dott.ssa D._______ non v'è ragione di ritenere che l'attività di operaio svolta dal ricorrente almeno fino al 30 giugno 2007 dovesse considerarsi inesigibile poiché esercitata a detrimento della sua salute (doc. 52 e 57). Questo Tribunale non ha ragione di scostarsi da detta valutazione che si fonda sostanzialmente su sufficienti riscontri, in particolare medici. Sulla questione può tutt'al più essere ancora osservato che la valutazione al riguardo di cui alla perizia medica particolareggiata E 213 del 16 maggio 2007 è contraddittoria e dunque inidonea a fondare un diverso apprezzamento. In effetti, il medico incaricato dell'esame ha, da un lato, indicato che l'insorgente è in grado di svolgere regolari lavori ma unicamente leggeri (doc. 49 pag. 8), dall'altro lato che il ricorrente è pure in grado di esercitare a tempo pieno la sua precedente attività (doc. 49 pag. 10 n. 11.4), la quale è però pesante e, infine, che conformemente alle disposizioni di legge del Paese di residenza l'invalidità per l'ultimo lavoro svolto è del 40% (doc. 49 pag. 10 n. 11.7). Neppure la relazione di consulenza tecnica del dott. F._______, psichiatra e psicoterapeuta, del mese di febbraio del 2008 - dunque di data posteriore alla decisione impugnata e nella quale il consulente s'esprime pure in merito alle conseguenze sulla capacità lavorativa di patologie estranee alla sua specializzazione - fornisce nuovi elementi concludenti suscettibili di giustificare una diversa valutazione del caso sulla questione dell'esigibilità del lavoro di operaio esercitato dal ricorrente (rispettivamente dell'esigibilità di numerose attività sostitutive adeguate al suo stato di salute). Può ancora essere osservato, per quanto attiene alle affezioni psichiche menzionate nella citata relazione di consulenza, che non sono fondate su indicazioni precise relative ad un metodo di classificazione internazionale riconosciuto.</w:t>
      </w:r>
    </w:p>
    <w:p>
      <w:r>
        <w:rPr>
          <w:b/>
        </w:rPr>
        <w:t>E. 12.2</w:t>
      </w:r>
    </w:p>
    <w:p>
      <w:r>
        <w:t>Giova infine rammentare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13</w:t>
      </w:r>
    </w:p>
    <w:p>
      <w:r>
        <w:t>In conclusione - e conto tenuto dell'insieme delle circostanze del caso di specie - questo Tribunale non ravvisa pertanto alcuna ragione per scostarsi dalle conclusioni di cui alla decisione impugnata, dal momento che non risulta in particolare dalle carte processuali che alla data della decisione impugnata (21 novembre 2007) il ricorrente abbia subito un'incapacità al lavoro del 40% almeno in media per un anno.</w:t>
      </w:r>
    </w:p>
    <w:p>
      <w:r>
        <w:rPr>
          <w:b/>
        </w:rPr>
        <w:t>E. 14</w:t>
      </w:r>
    </w:p>
    <w:p>
      <w:r>
        <w:t>Da quanto esposto, consegue che il ricorso, destituito di fondamento, non merita tutela e la decisione impugnata va confermata.</w:t>
      </w:r>
    </w:p>
    <w:p>
      <w:r>
        <w:rPr>
          <w:b/>
        </w:rPr>
        <w:t>E. 15.1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17 luglio 2008.</w:t>
      </w:r>
    </w:p>
    <w:p>
      <w:r>
        <w:rPr>
          <w:b/>
        </w:rPr>
        <w:t>E. 15.2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