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C-2336/2014 vom 13. Januar 2016</w:t>
      </w:r>
    </w:p>
    <w:p>
      <w:r>
        <w:t>Bundesverwaltungsgericht, 2016-01-13, DE</w:t>
      </w:r>
    </w:p>
    <w:p>
      <w:r>
        <w:rPr>
          <w:b/>
        </w:rPr>
        <w:t xml:space="preserve">Quelle: </w:t>
      </w:r>
      <w:r>
        <w:t>https://mcp.opencaselaw.ch/entscheid/bvger_C-2336_2014</w:t>
      </w:r>
    </w:p>
    <w:p>
      <w:r>
        <w:t>FR: TAF C-2336/2014 du 13 janvier 2016</w:t>
      </w:r>
    </w:p>
    <w:p>
      <w:r>
        <w:t>IT: TAF C-2336/2014 del 13 gennaio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absehenoder ein Einreiseverbot vollständig oder vorüber­gehend aufheben (Art. 67 Abs. 5 AuG).</w:t>
      </w:r>
    </w:p>
    <w:p>
      <w:r>
        <w:rPr>
          <w:b/>
        </w:rPr>
        <w:t>E. 4.1</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daher Anlass für die Verhängung eines Einreiseverbots sein (vgl. etwa Urteil des BVGer C 3576/2012 vom 9. August 2013 E. 3.2 m.H.), wobei der Erlass einer solchen Massnahme, wie erwähnt, stets zum Schutz vor künftigen Störungen und nicht im Sinne einer Sanktion erfolgt (vgl. Botschaft, a.a.O., S. 3813).</w:t>
      </w:r>
    </w:p>
    <w:p>
      <w:r>
        <w:rPr>
          <w:b/>
        </w:rPr>
        <w:t>E. 5.1</w:t>
      </w:r>
    </w:p>
    <w:p>
      <w:r>
        <w:t>Die Vorinstanz wirft dem einschlägig vorbestraften Beschwerdeführer in ihrer Verfügung vor, gegen Einreisebestimmungen verstossen zu haben, ohne die erforderliche ausländerrechtliche Bewilligung erwerbstätig gewesen zu sein sowie Ausländer ohne Arbeitsbewilligung beschäftigt zu haben. Damit liege gemäss ständiger Praxis ein schwerer Verstoss gegen die öffentliche Sicherheit und Ordnung vor.</w:t>
      </w:r>
    </w:p>
    <w:p>
      <w:r>
        <w:rPr>
          <w:b/>
        </w:rPr>
        <w:t>E. 5.2</w:t>
      </w:r>
    </w:p>
    <w:p>
      <w:r>
        <w:t>Mit Strafbefehl der Staatsanwaltschaft Bischofszell vom 12. August 2014 wurde der Beschwerdeführer in der Folge wegen mehrfachen rechtswidrigen Aufenthalts im Sinne von Art. 115 Abs. 1 bst. b AuG, der mehrfachen Erwerbstätigkeit ohne Bewilligung gemäss Art. 115 Abs. 1 Bst. c AuG sowie der mehrfachen Beschäftigung von Ausländerinnen und Ausländern ohne Bewilligung gemäss Art. 117 Abs. 1 AuG schuldig gesprochen und bestraft (vgl. Bst. E. des Sachverhalts). Die dem Beschwerdeführer dabei vorgeworfenen Gesetzesverstösse wurden von ihm denn auch nicht (mehr) bestritten, erwuchs der Strafbefehl doch unangefochten in Rechtskraft.</w:t>
      </w:r>
    </w:p>
    <w:p>
      <w:r>
        <w:rPr>
          <w:b/>
        </w:rPr>
        <w:t>E. 5.3</w:t>
      </w:r>
    </w:p>
    <w:p>
      <w:r>
        <w:t>Nicht von Belang für das vorliegende Verfahren ist zudem, dass die Vorinstanz die Fernhaltemassnahme verhängt hat, bevor der (aktuelle) Strafbefehl ergangen ist. Wie bereits erwähnt, knüpft das Einreiseverbot grundsätzlich nicht an die Erfüllung einer Strafnorm, sondern an das Vorliegen einer Polizeigefahr an. Ob eine solche besteht und wie sie zu gewichten ist, hat die Behörde in eigener Kompetenz unter Zugrundelegung spezifisch ausländerrechtlicher Kriterien zu beurteilen. Wenn der Sachverhalt unbestritten ist oder aufgrund der Akten keine Zweifel an ihm bestehen, ist die Behörde in der Regel nicht gehalten, den rechtskräftigen Abschluss eines Strafverfahrens abzuwarten (vgl. Urteil des BVGer C-5190/2014 vom 25. September 2015 E. 5.3.1 m.H.). Vielmehr kann ein Einreiseverbot auch dann ergehen, wenn ein rechtskräftiges Strafurteil fehlt, sei es, weil ein Strafverfahren gar nicht eröffnet oder eingestellt wurde oder noch hängig ist (vgl. Urteil des BVGer C 512/2009 vom 3. April 2013 E. 6.2 m.H.). In casu dreht sich der Streit nicht um den Sachverhalt, welcher aktenmässig erstellt ist, sondern um seine rechtliche Würdigung. Es bestand daher für die Vorinstanz kein Anlass, den Abschluss eines allfälligen Strafverfahrens abzuwarten. Im Übrigen wurde der betreffende Strafbefehl vom 12. August 2014 in der Folge nicht angefochten.</w:t>
      </w:r>
    </w:p>
    <w:p>
      <w:r>
        <w:rPr>
          <w:b/>
        </w:rPr>
        <w:t>E. 5.4</w:t>
      </w:r>
    </w:p>
    <w:p>
      <w:r>
        <w:t>Zusammenfassend ergibt sich, dass der Beschwerdeführer fraglos gegen die öffentliche Sicherheit und Ordnung verstossen hat, was auch von ihm grundsätzlich nicht bestritten wird, und unter dem Gesichtspunkt von Art. 67 Abs. 2 Bst. a AuG hinreichenden Anlass für die Verhängung einer Fernhaltemassnahme gegeben hat. Entgegen der Ansicht des Rechtsvertreters bedarf es dazu keiner vorgängigen Verwarnung; dies umso weniger, als der Beschwerdeführer bereits einschlägig vorbestraft ist.</w:t>
      </w:r>
    </w:p>
    <w:p>
      <w:r>
        <w:rPr>
          <w:b/>
        </w:rPr>
        <w:t>E. 6.1</w:t>
      </w:r>
    </w:p>
    <w:p>
      <w:r>
        <w:t>Es bleibt zu prüfen, ob die Massnahme in richtiger Ausübung des Ermessens ergangen und angemessen ist, was vom Beschwerdeführer bezweifelt wird.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Allgemeines Verwaltungsrecht, 6. Aufl., Zürich und St. Gallen 2010, Rz. 613 f.).</w:t>
      </w:r>
    </w:p>
    <w:p>
      <w:r>
        <w:rPr>
          <w:b/>
        </w:rPr>
        <w:t>E. 6.2</w:t>
      </w:r>
    </w:p>
    <w:p>
      <w:r>
        <w:t>Wie oben erwähnt, hat der Beschwerdeführer teilweise in schwerwiegender Art und Weise gegen ausländerrechtliche Vorschriften verstossen. Insbesondere bei der Beschäftigung von Ausländern ohne Bewilligung handelt es sich keineswegs um eine Bagatelle oder um eine Missachtung einer Formalie. Vielmehr wird gemäss Art. 117 Abs. 1 AuG mit einer Freiheitsstrafe bis zu einem Jahr (in schweren Fällen bis zu drei Jahren gemäss Art. 117 Abs. 2 AuG) oder Geldstrafe bestraft, wer als Arbeitgeberin oder Arbeitgeber vorsätzlich Ausländerinnen und Ausländer beschäftigt, die in der Schweiz nicht zur Ausübung einer Erwerbstätigkeit berechtigt sind. Gerade durch solche Delikte in der Schweiz entstehen regelmässig grosse wirtschaftliche Schäden. Erschwerend kommt hinzu, dass der Beschwerdeführer bloss zwei Monate nach seiner strafrechtlichen Verurteilung wegen Beschäftigens von Ausländern ohne Arbeitsbewilligung erneut delinquierte, sich während den polizeilichen Ermittlungen höchst uneinsichtig zeigte und versuchte, die ganze Verantwortung auf seinen Geschäftsführer abzuschieben. Aus seinem manifestierten Verhalten wird auf eine Gefährdung der öffentlichen Sicherheit und Ordnung geschlossen. Das Einreiseverbot hat in erster Linie präventiven Charakter, um unter anderem einer weiteren illegalen Beschäftigung von Ausländern ohne Arbeitsbewilligung entgegenzuwirken. Die Vorinstanz war demnach berechtigt, zur Abwendung künftiger Störungen ein Einreiseverbot zu verhängen.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zu betrachten (zur Zulässigkeit der Berücksichtigung generalpräventiver Aspekte in Konstellationen, in denen wie hier kein sogenannter Vertragsausländer betroffen ist, vgl. Urteil des BGer 2C_282/2012 vom 31. Juli 2012 E. 2.5 m.H.).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C-2771/2010 vom 3. Februar 2012 E. 6.1). Es besteht somit ein gewichtiges öffentliches Interesse an einer (mehrjährigen) Fernhaltung des Beschwerdeführers.</w:t>
      </w:r>
    </w:p>
    <w:p>
      <w:r>
        <w:rPr>
          <w:b/>
        </w:rPr>
        <w:t>E. 6.3</w:t>
      </w:r>
    </w:p>
    <w:p>
      <w:r>
        <w:t>Was auf Beschwerdeebene dagegen vorgebracht wird, ändert daran nichts. So kommt dem Umstand, dass die Staatsanwaltschaft Bischofszell nur eine bedingte Geldstrafe ausgesprochen hat, nicht die Bedeutung zu, welche ihr der Parteivertreter beimisst. Strafrechtliche Sanktionen und migrationsrechtliche Massnahmen verfolgen unterschiedliche Ziele und Zwecke (vgl. dazu BGE 130 II 493 E. 4.2 S. 500 f.). Vor dem Hintergrund der vorzunehmenden umfassenden Interessenabwägung kommt der Migrationsbehörde ein im Vergleich zu den Straf- und Strafvollzugsbehörden strengerer Beurteilungsmassstab zu (vgl. BGE 120 Ib 129 E. 5b S. 132). Abgesehen davon schliessen die Strafjustizbehörden bei der Gewährung des bedingten Strafvollzugs bzw. einer bedingt ausgesprochenen Geldstrafe durch die Bestimmung einer Probezeit nicht jegliche Rückfallgefahr aus (siehe Urteil des BVGer C-4793/2013 vom 23. April 2014 E. 7.4 m.H.).</w:t>
      </w:r>
    </w:p>
    <w:p>
      <w:r>
        <w:rPr>
          <w:b/>
        </w:rPr>
        <w:t>E. 6.4</w:t>
      </w:r>
    </w:p>
    <w:p>
      <w:r>
        <w:t>An persönlichen Interessen bringt der Beschwerdeführer sinngemäss vor, die Fernhaltemassnahme schränke ihn unverhältnismässig in der Ausübung seiner beruflichen Tätigkeit ein, sei er doch Inhaber einer Baufirma mit Sitz in der Schweiz. Die erwähnten Beeinträchtigungen gilt es insofern zu relativieren, als der Beschwerdeführer ohnehin in der Vergangenheit über keine Aufenthalts- bzw. Arbeitsbewilligung in der Schweiz verfügt hat. Andererseits kann er sich in der Schweiz durch seinen hierzulande niedergelassenen Geschäftsführer vertreten lassen und den Kontakt zu seiner Firma auch mittels Telefon und modernen Kommunikationsmitteln (Internet, E-Mail, Skype usw.) aufrechterhalten. Die mit dem Einreiseverbot verbundenen Einschränkungen sind also in mehrfacher Hinsicht zu relativieren. Angesichts dessen vermögen die geltend gemachten privaten Interessen weder eine Aufhebung noch eine Reduktion der Dauer der Fernhaltemassnahme zu rechtfertigen.</w:t>
      </w:r>
    </w:p>
    <w:p>
      <w:r>
        <w:rPr>
          <w:b/>
        </w:rPr>
        <w:t>E. 6.5</w:t>
      </w:r>
    </w:p>
    <w:p>
      <w:r>
        <w:t>Aufgrund einer wertenden Gewichtung der sich entgegenstehenden Interessen gelangt das Bundesverwaltungsgericht zum Schluss, dass sich das auf drei Jahre befristete Einreiseverbot unter Berücksichtigung der gängigen Praxis in vergleichbaren Fällen als verhältnismässig und angemessen erweist.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