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C-2333/2015 vom 19. August 2015</w:t>
      </w:r>
    </w:p>
    <w:p>
      <w:r>
        <w:t>Bundesverwaltungsgericht, 2015-08-19, DE</w:t>
      </w:r>
    </w:p>
    <w:p>
      <w:r>
        <w:rPr>
          <w:b/>
        </w:rPr>
        <w:t xml:space="preserve">Quelle: </w:t>
      </w:r>
      <w:r>
        <w:t>https://mcp.opencaselaw.ch/entscheid/bvger_C-2333_2015</w:t>
      </w:r>
    </w:p>
    <w:p>
      <w:r>
        <w:t>FR: TAF C-2333/2015 du 19 août 2015</w:t>
      </w:r>
    </w:p>
    <w:p>
      <w:r>
        <w:t>IT: TAF C-2333/2015 del 19 agosto 2015</w:t>
      </w:r>
    </w:p>
    <w:p>
      <w:pPr>
        <w:pStyle w:val="Heading2"/>
      </w:pPr>
      <w:r>
        <w:t>Regeste</w:t>
      </w:r>
    </w:p>
    <w:p>
      <w:r>
        <w:t>Mindestbeitragsdauer</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den angefochtenen Einsprache­ent­scheid berührt und hat ein schutzwürdiges Interesse an dessen Auf­hebung oder Änderung, so dass sie im Sinn von Art. 59 ATSG be­schwerdelegitimiert ist.</w:t>
      </w:r>
    </w:p>
    <w:p>
      <w:r>
        <w:rPr>
          <w:b/>
        </w:rPr>
        <w:t>E. 1.4</w:t>
      </w:r>
    </w:p>
    <w:p>
      <w:r>
        <w:t>Da die Beschwerde im Übrigen frist- und formgerecht (Art. 60 Abs. 1 ATSG in Verbindung mit Art. 38 Abs. 4 Bst. a [Fristenstillstand vom siebten Tag vor Ostern bis und mit dem siebten Tag nach Ostern] Art. 39 Abs. 1 ATSG und Art. 52 Abs. 1 VwVG) eingereicht wurde, ist auf die Beschwerde einzutreten.</w:t>
      </w:r>
    </w:p>
    <w:p>
      <w:r>
        <w:rPr>
          <w:b/>
        </w:rPr>
        <w:t>E. 2.1</w:t>
      </w:r>
    </w:p>
    <w:p>
      <w:r>
        <w:t>In materiellrechtlicher Hinsicht sind grundsätzlich diejenigen Rechts-sätze massgebend, die bei der Erfüllung des zu Rechtsfolgen führenden Tatbestandes Geltung hatten (BGE 130 V 445 E. 1.2.1).</w:t>
      </w:r>
    </w:p>
    <w:p>
      <w:r>
        <w:rPr>
          <w:b/>
        </w:rPr>
        <w:t>E. 2.2</w:t>
      </w:r>
    </w:p>
    <w:p>
      <w:r>
        <w:t>Die Beschwerdeführerin hat das 64. Altersjahr am (...) 2014 vollendet. Ihr Anspruch auf eine ordentliche Altersrente ohne Vorbezug könnte demnach am (...) 2014 entstanden sein (vgl. Art. 21 Abs. 1 Bst. b und Abs. 2 AHVG). Für einen allfälligen Anspruch auf eine Altersrente der AHV sind somit diejenigen Normen anwendbar, welche zu diesem Zeitpunkt in Kraft standen. Dasselbe gilt für die eventualiter beantragte Rückvergütung der Beiträge, soweit der ursprünglich gestellte Antrag auf eine Altersrente vom 12. Oktober 2014 als Antrag auf Rückvergütung der Beiträge zu verstehen ist (vgl. BGE 136 V 24 E.4.4, wonach für die Beurteilung eines Gesuchs auf Rückvergütung von Beiträgen die im Zeitpunkt des Gesuchs massgebenden gesetzlichen Bestimmungen anwendbar sind).</w:t>
      </w:r>
    </w:p>
    <w:p>
      <w:r>
        <w:rPr>
          <w:b/>
        </w:rPr>
        <w:t>E. 2.3</w:t>
      </w:r>
    </w:p>
    <w:p>
      <w:r>
        <w:t>Daher und aufgrund dessen, dass die Beschwerdeführerin deutsche Staatsangehörige ist und in Deutschland wohnt, gelangt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zur Anwendung. Gemäss Art. 8 Bst. a FZA werden die Systeme der sozialen Sicherheit koordiniert, um insbesondere die Gleichbehandlung aller Staatsangehöriger der Vertragsstaaten zu gewährleisten. Soweit das FZA bzw. die auf dieser Grundlage an­wend­baren gemeinschaftsrechtlichen Rechtsakte - wie hier -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E. 5). Demnach bestimmt sich vorliegend der Anspruch der Beschwerdeführerin auf eine Rente der AHV bzw. der Anspruch auf Rückvergütung von Beiträgen nach dem internen schweizerischen Recht, was sich auch mit dem Inkrafttreten der oben erwähnten Verordnungen am 1. April 2012 nicht geändert hat.</w:t>
      </w:r>
    </w:p>
    <w:p>
      <w:r>
        <w:rPr>
          <w:b/>
        </w:rPr>
        <w:t>E. 2.4</w:t>
      </w:r>
    </w:p>
    <w:p>
      <w:r>
        <w:t>Der Träger eines Mitgliedstaates ist gemäss Art. 57 Abs. 1 der Verordnung Nr. 883/2004 nicht verpflichtet, Leistungen für Zeiten zu gewähren, die nach den für ihn geltenden Rechtsvorschriften zurückgelegt wurden und bei Eintritt des Versicherungsfalls zu berücksichtigen sind, wenn die Dauer dieser Zeiten weniger als ein Jahr beträgt, und aufgrund allein dieser Zeiten kein Leistungsanspruch nach diesen Rechtsvorschriften erworben wurde.</w:t>
      </w:r>
    </w:p>
    <w:p>
      <w:r>
        <w:rPr>
          <w:b/>
        </w:rPr>
        <w:t>E. 2.5</w:t>
      </w:r>
    </w:p>
    <w:p>
      <w:r>
        <w:t>Nach Art. 21 Abs. 1 und Abs. 2 AHVG in Verbindung mit Art. 29 Abs. 1 AHVG haben Frauen, welche das 64. Altersjahr vollendet haben, Anspruch auf eine ordentliche Altersrente, sofern ihnen für mindestens ein volles Jahr Einkommen, Erziehungs- oder Betreuungsgutschriften angerechnet werden kann.</w:t>
      </w:r>
    </w:p>
    <w:p>
      <w:r>
        <w:rPr>
          <w:b/>
        </w:rPr>
        <w:t>E. 2.6</w:t>
      </w:r>
    </w:p>
    <w:p>
      <w:r>
        <w:t>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Damit ein Jahr als volles Beitragsjahr angerechnet wird, muss eine Versicherungsdauer von mehr als elf Monaten vorliegen; dies ist nicht der Fall, wenn nur eine Dauer von elf Monaten ohne einen zusätzlichen Bruchteil eines weiteren Monates besteht (vgl. Ueli Kieser, Rechtsprechung des Bundesgerichts zum AHVG, 3. Aufl., Zürich 2012, Art. 29ter, Rz. 3).</w:t>
      </w:r>
    </w:p>
    <w:p>
      <w:r>
        <w:rPr>
          <w:b/>
        </w:rPr>
        <w:t>E. 2.7</w:t>
      </w:r>
    </w:p>
    <w:p>
      <w:r>
        <w:t>Die Beitragsdauer einer versicherten Person bestimmt sich nach den Einträgen in den individuellen Konten des Versicherten (Art. 30ter AHVG), die nach Art. 140 Abs. 1 Bst. d AHVV das Beitragsjahr und die Beitragsdauer in Monaten umfassen muss.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2.8</w:t>
      </w:r>
    </w:p>
    <w:p>
      <w:r>
        <w:t>Den Ausländern, die ihren Wohnsitz im Ausland haben und mit deren Heimatstaat keine zwischenstaatliche Vereinbarung besteht, sowie ihre Hinterlassenen können die gemäss den Artikeln 5, 6, 8, 10 oder 13 AHVG bezahlten Beiträge rückvergütet werden. Der Bundesrat regelt die Einzelheiten, insbesondere das Ausmass der Rückvergütung (Art. 18 Abs. 3 AHVG). 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w:t>
      </w:r>
    </w:p>
    <w:p>
      <w:r>
        <w:rPr>
          <w:b/>
        </w:rPr>
        <w:t>E. 3</w:t>
      </w:r>
    </w:p>
    <w:p>
      <w:r>
        <w:t>Vorliegend ist unbestritten und aus den Akten ersichtlich, dass die Beschwerdeführerin im Jahr 1985 aufgrund ihrer Erwerbstätigkeit in der Schweiz während fünf Monaten der obligatorischen Versicherung der AHV/IV unterstellt war und in dieser Zeit Beiträge geleistet hat (vgl. act. 7 und 12-2 ff.). Somit hat sie gemäss den schweizerischen Rechtsvorschriften grundsätzlich keinen Anspruch auf eine Altersrente, da die Mindestbeitragsdauer von einem vollen Jahr nicht erfüllt ist (vgl. vorstehende E. 2.4 ff.). Ebensowenig kommt die Rückvergütung der einbezahlten Beiträge in Frage, zumal mit dem FZA eine zwischenstaatliche Vereinbarung zur Anwendung gelangt, sodass eine Rückvergütung bereits aus diesem Grund ausgeschlossen ist (vgl. vorstehende E. 2.7).</w:t>
      </w:r>
    </w:p>
    <w:p>
      <w:r>
        <w:rPr>
          <w:b/>
        </w:rPr>
        <w:t>E. 3.1</w:t>
      </w:r>
    </w:p>
    <w:p>
      <w:r>
        <w:t>Zu prüfen bleibt, ob vorliegend im Sinn des Standpunkts der Beschwerdeführerin dennoch Anspruch auf eine Altersrente der AHV oder auf Rückvergütung der geleisteten Beiträge besteht.</w:t>
      </w:r>
    </w:p>
    <w:p>
      <w:r>
        <w:rPr>
          <w:b/>
        </w:rPr>
        <w:t>E. 3.2</w:t>
      </w:r>
    </w:p>
    <w:p>
      <w:r>
        <w:t>Die Beschwerdeführerin macht geltend, es sei ihr die Möglichkeit einzuräumen die fehlenden Beiträge nachzuzahlen bzw. sei sie eventualiter so zu stellen, als ob sie die Mindestbeitragsdauer von einem Jahr erfüllt habe. Zur Begründung führt sie im Wesentlichen aus, im Zeitpunkt als sie der AHV/IV unterstellt war, habe die Möglichkeit bestanden die Beiträge freiwillig weiterzuzahlen. Über diese Möglichkeit sei sie von der Verwaltung jedoch nicht aufgeklärt worden.</w:t>
      </w:r>
    </w:p>
    <w:p>
      <w:r>
        <w:rPr>
          <w:b/>
        </w:rPr>
        <w:t>E. 3.3</w:t>
      </w:r>
    </w:p>
    <w:p>
      <w:r>
        <w:t>Die Frage, ob der Beschwerdeführerin im Jahr 1985 die Möglichkeit offen stand, die Versicherung freiwillig weiterzuführen, bestimmt sich nach denjenigen Normen, welche zu diesem Zeitpunkt in Kraft standen (vgl. BGE 130 V 445 E. 1.2.1). Nach Art. 2 Abs. 2 AHVG in der Fassung vom 1. Januar 1985 konnten Schweizer Bürger, die aus der obligatorischen Versicherung der AHV/IV ausgeschieden waren, die Versicherung freiwillig weiterführen. Ziffer 7 des Schlussprotokolls zum Abkommen zwischen der Schweizerischen Eidgenossenschaft und der Bundesrepublik Deutschland über Soziale Sicherheit vom 25. Februar 1964 (in der vom 1. November 1973 bis 31. März 1990 in Kraft gewesenen Fassung [nachfolgend: Abkommen], vgl. Erstes Zusatzabkommen zum Abkommen zwischen der Schweizerischen Eidgenossenschaft und der Bundesrepublik Deutschland über Soziale Sicherheit vom 9. September 1975 [AS 1976 2048]) sah sodann vor, dass die Gleichstellung der Staatsangehörigen der Vertragsparteien bei der Anwendung der Rechtsvorschriften einer Vertragspartei nicht im Bereich der schweizerischen Rechtsvorschriften über den Beitritt zur freiwilligen Versicherung der im Ausland niedergelassenen Schweizer Bürger zur Anwendung gelangte. Die freiwillige Weiterführung der Versicherung im Zeitpunkt des Ausscheidens der Beschwerdeführerin aus der obligatorischen Versicherung der AHV/IV (Beendigung der Erwerbstätigkeit in der Schweiz am 28. Dezember 1985; vgl. act. 12-3), stand somit auch unter Berücksichtigung des damals anwendbaren Abkommens einzig Schweizer Bürgern offen. Entgegen der Auffassung der Beschwerdeführerin bestand für sie als deutsche Staatsangehörige damals keine Möglichkeit, die Versicherung freiwillig weiterzuführen. Insofern kann die Beschwerdeführerin sich auch nicht darauf berufen, dass sie von der Verwaltung nicht oder ungenügend aufgeklärt worden sei.</w:t>
      </w:r>
    </w:p>
    <w:p>
      <w:r>
        <w:rPr>
          <w:b/>
        </w:rPr>
        <w:t>E. 3.4</w:t>
      </w:r>
    </w:p>
    <w:p>
      <w:r>
        <w:t>Da die Beschwerdeführerin einzig für die Dauer ihrer fünfmonatigen Erwerbstätigkeit in der Schweiz nach Art. 1 Abs. 1 Bst. b AHVG der obligatorischen Versicherung der AHV/IV unterstellt war (ein anderer Unterstellungsgrund wird weder geltend gemacht und ergibt sich auch nicht aus den Akten), ist im Ergebnis ohne Belang, dass sie keine Kenntnis von der Mindestbeitragszeit hatte. Die Möglichkeit Beitragszahlungen zu leisten, ohne gleichzeitig der Versicherung der AHV/IV unterstellt zu sein, bestand nämlich weder im Zeitpunkt der Beendigung der Erwerbstätigkeit in der Schweiz noch besteht eine solche Möglichkeit heute. Insbesondere sieht die Nachzahlung von Beiträgen im Sinn von Art. 39 AHVV lediglich die Nachzahlung geschuldeter Beiträge vor. Eine Nachzahlung von nichtgeschuldeten Beiträgen zwecks Erfüllung von zusätzlich zur Dauer der Versicherungsunterstellung anrechenbaren Beitragszeiten war und ist hingegen ausgeschlossen.</w:t>
      </w:r>
    </w:p>
    <w:p>
      <w:r>
        <w:rPr>
          <w:b/>
        </w:rPr>
        <w:t>E. 3.5</w:t>
      </w:r>
    </w:p>
    <w:p>
      <w:r>
        <w:t>Zusammenfassend ist festzuhalten, dass die Vorinstanz sowohl den Anspruch auf eine Altersrente der AHV als auch die Rückvergütung der geleisteten Beiträge zu Recht verneint hat. Der angefochtene Einspracheentscheid ist somit zu bestätigen und die Beschwerde im einzelrichterlichen Verfahren gemäss Art. 23 Abs. 2 VGG in Verbindung mit Art. 85bis Abs. 3 AHVG abzuweisen. Anzufügen ist, dass die Frage, ob und inwieweit die von der Beschwerdeführerin in der Schweiz geleisteten Beiträge bei der Berechnung der deutschen Rente zu berücksichtigen sind, nicht in den Zuständigkeitsbereich der Vorinstanz fällt und daher auch nicht Gegenstand des vorliegend Verfahrens bilden kann. Die Beschwerdeführerin kann sich diesbezüglich gegebenenfalls an den deutschen Versicherungsträger wenden.</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erwachsenen notwendigen und verhältnis­mässig hohen Kosten zugesprochen werden (Art. 64 Abs. 1 VwVG). Als Bundesbehörde hat die Vorinstanz jedoch keinen Anspruch auf Parteientschä­digung (Art. 7 Abs. 3 des Reglements vom 21. Februar 2008 über die Kosten und Entschädigungen vor dem Bundesverwaltungsgericht [VGKE, SR 73.320.2]). Ebensowenig hat die unterliegende Beschwerdeführerin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