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C-2324/2012 vom 22. August 2013</w:t>
      </w:r>
    </w:p>
    <w:p>
      <w:r>
        <w:t>Bundesverwaltungsgericht, 2013-08-22, FR</w:t>
      </w:r>
    </w:p>
    <w:p>
      <w:r>
        <w:rPr>
          <w:b/>
        </w:rPr>
        <w:t xml:space="preserve">Quelle: </w:t>
      </w:r>
      <w:r>
        <w:t>https://mcp.opencaselaw.ch/entscheid/bvger_C-2324_2012</w:t>
      </w:r>
    </w:p>
    <w:p>
      <w:r>
        <w:t>FR: TAF C-2324/2012 du 22 août 2013</w:t>
      </w:r>
    </w:p>
    <w:p>
      <w:r>
        <w:t>IT: TAF C-2324/2012 del 22 agosto 2013</w:t>
      </w:r>
    </w:p>
    <w:p>
      <w:pPr>
        <w:pStyle w:val="Heading2"/>
      </w:pPr>
      <w:r>
        <w:t>Regeste</w:t>
      </w:r>
    </w:p>
    <w:p>
      <w:r>
        <w:t>Révision de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 et que l'avance sur les frais de procédure a été dûment acquittée.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3</w:t>
      </w:r>
    </w:p>
    <w:p>
      <w:r>
        <w:t>Dans l'assurance-invalidité, des rentes ne sont octroyées à des assurés étrangers résidant à l'étranger que si cela est prévu dans un traité avec le pays concerné. En l'occurrence, le recourant est ressortissant du Kosovo, il séjourne actuellement en Suisse mais devrait en être expulsé et n'y a donc pas son domicile. La Suisse a conclu de nouveaux traités de sécurité sociales avec divers Etats successeurs de l'ex-Yougoslavie, mais pas avec le Kosovo. Selon la jurisprudence du Tribunal fédéral, la convention du 8 juin 1962 entre la Confédération suisse et la République populaire fédérative de Yougoslavie relative aux assurances sociales (RS 0.831.109.818.1) ainsi que l'arrangement administratif du 5 juillet 1963 concernant les modalités d'application de la convention relative aux assurances sociales entre la Confédération suisse et la République populaire fédérative de Yougoslavie (RS 0.831.109.818.12) ne sont plus applicables (cf. arrêt du Tribunal fédéral du 8 juillet 2013 8C_109/2013). Les rentes accordées aux ressortissants du Kosovo après le 31 mars 2010 ne peuvent plus être exportées à l'étranger, elles ne sont versées qu'en Suisse. Par contre, les rentes accordées avant cette date continuent à être versées à l'étranger (droit acquis).</w:t>
      </w:r>
    </w:p>
    <w:p>
      <w:r>
        <w:rPr>
          <w:b/>
        </w:rPr>
        <w:t>E. 4</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2008, sauf mention contraire. Ne sont en revanche pas applicables les dispositions de la 6ème révision de la LAI (premier volet) en vigueur dès le 1er janvier 2012 (RO 2011 5659, FF 2010 1647). En ce qui concerne les faits déterminant selon la jurisprudence, le Tribunal de céans doit se limiter à examiner la situation de fait existant jusqu'à la date de la décision attaquée (ATF 130 V 4450 consid. 1.2).</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Tribunal fédéral U 365/06 du 26 janvier 2007 consid. 4.1).</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7.2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du deuxième mois qui suit la date de la notification. Dans le cas où l'assuré s'est fait attribuer la rente irrégulièrement ou s'il a manqué, à un moment donné, à l'obligation de renseigner qui lui incombe raisonnablement selon l'art. 77 RAI, la diminution ou la suppression de la rente prend effet rétroactivement (art. 88bis al. 2 let. b RAI).</w:t>
      </w:r>
    </w:p>
    <w:p>
      <w:r>
        <w:rPr>
          <w:b/>
        </w:rPr>
        <w:t>E. 7.3</w:t>
      </w:r>
    </w:p>
    <w:p>
      <w:r>
        <w:t>D'après l'art. 31 al. 1 LPGA, l'ayant droit, ses proches ou les tiers auxquels une prestation est versée sont tenus de communiquer à l'assureur ou, selon les cas, à l'organe compétent toute modification importante des circonstances déterminantes pour l'octroi d'une prestation. En matière d'assurance-invalidité, l'art. 77 al. 1 RAI précise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il faut qu'il y ait un comportement fautif; d'après une jurisprudence constante, une légère négligence suffit déjà (ATF 112 V 101 consid. 2a).</w:t>
      </w:r>
    </w:p>
    <w:p>
      <w:r>
        <w:rPr>
          <w:b/>
        </w:rPr>
        <w:t>E. 7.4</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7.5</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8</w:t>
      </w:r>
    </w:p>
    <w:p>
      <w:r>
        <w:t>En l'espèce, le recourant a bénéficié d'une rente entière d'invalidité à partir du 1er juin 1994 selon la décision du 9 juin 1997 de l'OAI-VD (AI-VD pce 31). Lors de la révision de rente en 1999, l'OAI-VD a appris que l'assuré était en détention, a suspendu la rente avec effet au 1er juillet 1999 et n'a pas procédé a un examen matériel de l'état de santé. Lors du passage à un régime de semi-liberté, l'OAI-VD a repris le versement de la rente entière d'invalidité, toujours sans examen de l'état de santé (OAI-VD pce 71). La question de savoir si le degré d'invalidité du recourant a subi une modification doit par conséquent être jugée en comparant les faits tels qu'ils se présentaient le 9 juin 1997 et ceux qui ont existé à la date de la décision litigieuse du 12 mars 2012.</w:t>
      </w:r>
    </w:p>
    <w:p>
      <w:r>
        <w:rPr>
          <w:b/>
        </w:rPr>
        <w:t>E. 9</w:t>
      </w:r>
    </w:p>
    <w:p>
      <w:r>
        <w:t>Alors que l'OAIE base la suppression rétroactive de la rente entière versée depuis le 1er juin 1994 sur une amélioration de l'état de santé à considérer comme durable depuis novembre 2002, le recourant argue que sa santé est restée la même et qu'il n'est pas en état d'exercer une activité lucrative.</w:t>
      </w:r>
    </w:p>
    <w:p>
      <w:r>
        <w:rPr>
          <w:b/>
        </w:rPr>
        <w:t>E. 9.1</w:t>
      </w:r>
    </w:p>
    <w:p>
      <w:r>
        <w:t>Selon le rapport d'expertise du Centre J._______ du 5 octobre 2011 (OAIE pce 105), il n'y a aucun diagnostic et donc aucune incapacité de travail à retenir tant dans l'activité exercée préalablement que dans toutes autres activités potentiellement exigibles, ceci sans limitations fonctionnelles quelles qu'elles soient. Les experts du Centre J._______ soulignent que l'atypie des plaintes, les constations cliniques et la normalité de tous les examens effectuées (examen myographique du membre inférieur droit, examens radiologiques de la colonne lombaire et du bassin, IRM lombaire, monitoring médicamenteux) permettent de conclure que la symptomatologie présentée par l'assuré ne trouve pas d'explications somatiques, avec une nette discordance entre l'importance des troubles et leur apparente répercussion sur la capacité de travail d'une part et l'absence d'anomalie significative au bilan objectif d'autre part. Selon le rapport d'expertise, les plaintes majeures de l'assuré contrastent avec la pauvreté des éléments objectifs, cliniques et radiologiques, ce qui suggère pour le moins un diagnostic de majoration des symptômes, voire de simulation. Les trois experts du Centre J._______ concluent à la présence d'un syndrome douloureux chronique sans lésion anatomique susceptible d'en expliquer la persistance et l'intensité, ils décrivent l'expertisé comme non convaincant sur le plan général, un manque de diagnostic pathologique et une problématique surtout sociale (avec une interdiction de séjour en Suisse alors que sa femme et ses enfants y vivent) ainsi que financière. Lors d'une séance le 20 octobre 2011, les quatre médecins de l'OAIE ont constaté que la rente avait été reconnue en raison d'un état de stress post traumatique non traité aggravant un syndrome lombo-vertébral, alors que l'état était à l'époque susceptible d'amélioration, qu'il n'y avait actuellement aucune limitation fonctionnelle objective qualitative ou limitative, ni au plan physique, ni au plan psychique, et qu'il n'y avait plus aucune incapacité de travail à retenir depuis novembre 2002 (OAIE pce 107).</w:t>
      </w:r>
    </w:p>
    <w:p>
      <w:r>
        <w:rPr>
          <w:b/>
        </w:rPr>
        <w:t>E. 9.2</w:t>
      </w:r>
    </w:p>
    <w:p>
      <w:r>
        <w:t>Le Tribunal de céans considère dès lors que, conformément à l'avis unanime des experts du Centre J._______ et des médecins de l'OAIE, l'état de santé de l'assuré s'est nettement amélioré depuis l'octroi de la rente en 1997 aussi bien sur la plan somatique que sur le plan psychique. Le Tribunal fait sienne l'évaluation de la capacité de travail des experts du Centre J._______ et considère sans devoir recourir à une expertise médicale complémentaire comme le demande le recourant, par appréciation anticipée de son résultat au vu des pièces du dossier (ATF 135 V 2 consid. 1.3), que l'assuré présente, au moins depuis novembre 2002, une capacité de travail de 100 % dans toute activité lucrative, l'expertise du Centre J._______ étant consistante, bien motivée et répondant à tous les critères posés par la jurisprudence.</w:t>
      </w:r>
    </w:p>
    <w:p>
      <w:r>
        <w:rPr>
          <w:b/>
        </w:rPr>
        <w:t>E. 10.1</w:t>
      </w:r>
    </w:p>
    <w:p>
      <w:r>
        <w:t>Le taux d'invalidité d'une personne exerçant une activité lucrative est fixé d'après la méthode ordinaire de comparaison des revenus.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d'invalide; art. 16 LPGA et art. 28a al. 1 LAI). Les revenus à comparer doivent être évalués de manière aussi concrète que possible si bien qu'il convient, dans la mesure du possible, de se référer aux salaires réellement gagnés par l'assuré avant et après la survenance des problèmes de santé. A défaut d'un salaire de référence, un salaire théorique doit être évalué sur la base des statistiques salariales. Dans le cas où le salaire d'invalide est déterminé d'après les données retenues par les enquêtes suisses sur la structure des salaires (ESS), publiées par l'Office fédéral de la statistique (OFS), il doit être réduit afin de tenir compte des circonstances personnelles et professionnelles du cas particulier (limitations liées au handicap, âge, années de service, nationalité/catégorie d'autorisation de séjour et taux d'occupation). La hauteur de la réduction relève en premier lieu de l'office AI qui dispose pour cela d'un large pouvoir d'appréciation. La jurisprudence n'admet cependant à ce titre pas de déduction globale supérieure à 25 % (ATF 126 V 75 consid. 5). Le juge des assurances sociales ne peut, sans motif pertinent, substituer son appréciation à celle de l'administration (ATF 126 cité consid. 6).</w:t>
      </w:r>
    </w:p>
    <w:p>
      <w:r>
        <w:rPr>
          <w:b/>
        </w:rPr>
        <w:t>E. 10.2</w:t>
      </w:r>
    </w:p>
    <w:p>
      <w:r>
        <w:t>En l'espèce, l'assuré présente une capacité totale de travail tant dans l'activité exercée préalablement que dans toutes autres activités potentiellement exigibles, ceci sans limitations fonctionnelles quelles qu'elles soient, depuis novembre 2002. Il ne subit donc plus aucune perte de gain et n'a donc plus droit à une rente d'invalidité.</w:t>
      </w:r>
    </w:p>
    <w:p>
      <w:r>
        <w:rPr>
          <w:b/>
        </w:rPr>
        <w:t>E. 11.1</w:t>
      </w:r>
    </w:p>
    <w:p>
      <w:r>
        <w:t>Selon une jurisprudence constante (cf. arrêt du Tribunal fédéral 9C_254/2011 du 15 novembre 2011), lorsque la rente a été allouée de façon prolongée, il n'est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 [SVR 2011 IV n° 30 p. 86, RSAS 2011 p. 71]).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[SVR 2011 IV n° 30 p. 86, RSAS 2011 p. 71]).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w:t>
      </w:r>
    </w:p>
    <w:p>
      <w:r>
        <w:rPr>
          <w:b/>
        </w:rPr>
        <w:t>E. 11.2</w:t>
      </w:r>
    </w:p>
    <w:p>
      <w:r>
        <w:t>Le Tribunal considère qu'une réadaptation par soi-même pouvait être exigée lors de la suspension/suppression de la rente en mai 2008. Une phase d'aide transitoire ne paraît pas nécessaire et il est tout à fait possible au recourant de mettre à profit son entière capacité de travail sur un marché équilibré de l'emploi puisque toute activité lucrative est exigible sans limitations fonctionnelles quelles qu'elles soient.</w:t>
      </w:r>
    </w:p>
    <w:p>
      <w:r>
        <w:rPr>
          <w:b/>
        </w:rPr>
        <w:t>E. 12</w:t>
      </w:r>
    </w:p>
    <w:p>
      <w:r>
        <w:t>Le Tribunal constate que l'assuré a manifestement violé son obligation de renseigner puisqu'il n'a pas informé l'Office AI qu'il avait été expulsé de Suisse respectivement était sous le coup d'une interdiction d'entrer. Ignorant cet élément, l'Office AI a convoqué l'assuré pour une expertise auprès du SMR prévue le 6 septembre 2007 qui n'a pas pu avoir lieu (OAI-VD pces 106 et 109). Les conditions fixées à l'art. 88bis al. 2 let. b RAI pour une suppression rétroactive de la rente sont donc remplies en l'occurrence.</w:t>
      </w:r>
    </w:p>
    <w:p>
      <w:r>
        <w:rPr>
          <w:b/>
        </w:rPr>
        <w:t>E. 13</w:t>
      </w:r>
    </w:p>
    <w:p>
      <w:r>
        <w:t>Au vu de ce qui précède, il appert que la décision du 12 mars 2012 doit être confirmée et le recours rejeté dans une procédure à juge unique (art. 23 al. 1 let. b LTAF).</w:t>
      </w:r>
    </w:p>
    <w:p>
      <w:r>
        <w:rPr>
          <w:b/>
        </w:rPr>
        <w:t>E. 14.1</w:t>
      </w:r>
    </w:p>
    <w:p>
      <w:r>
        <w:t>Vu l'issue de la cause, les frais de procédure, fixés par le Tribunal de céans à 400 francs, sont mis à la charge du recourant débouté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14.2</w:t>
      </w:r>
    </w:p>
    <w:p>
      <w:r>
        <w:t>Il n'est pas alloué de dépens (art. 64 al. 1PA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