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C-2316/2012 vom 1. Oktober 2013</w:t>
      </w:r>
    </w:p>
    <w:p>
      <w:r>
        <w:t>Bundesverwaltungsgericht, 2013-10-01, FR</w:t>
      </w:r>
    </w:p>
    <w:p>
      <w:r>
        <w:rPr>
          <w:b/>
        </w:rPr>
        <w:t xml:space="preserve">Quelle: </w:t>
      </w:r>
      <w:r>
        <w:t>https://mcp.opencaselaw.ch/entscheid/bvger_C-2316_2012</w:t>
      </w:r>
    </w:p>
    <w:p>
      <w:r>
        <w:t>FR: TAF C-2316/2012 du 1 octobre 2013</w:t>
      </w:r>
    </w:p>
    <w:p>
      <w:r>
        <w:t>IT: TAF C-2316/2012 del 1 ottobre 2013</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de l'ODM (cf. art. 33 let. d LTAF) en matière d'annulation de la naturalisation facilitée sont susceptibles de recours au Tribunal,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 et art. 51 al. 1 LN).</w:t>
      </w:r>
    </w:p>
    <w:p>
      <w:r>
        <w:rPr>
          <w:b/>
        </w:rPr>
        <w:t>E. 1.3</w:t>
      </w:r>
    </w:p>
    <w:p>
      <w:r>
        <w:t>A._______ a qualité pour recourir (cf. art. 48 al. 1 PA). Son recours, présenté dans la forme et les délais prescrits par la loi, est recevable (cf. art. 50 et 52 PA). 2.La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p. 164s. et jurisprudence citée). Une communauté conjugale au sens des dispositions précitées suppose donc l'existence, au moment de la décision de naturalisation facilitée, d'une volonté matrimoniale intacte et orientée vers l'avenir, autrement dit la ferme intention des époux de poursuivre la communauté conjugale au-delà de la décision de naturalisation facilitée. L'introduction d'une procédure de divorce ou la séparation des époux peu après la naturalisation facilitée constitue un indice permettant de présumer l'absence d'une telle volonté lors de l'octroi de la citoyenneté helvétique (cf. consid. 4.2 ci-après).</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ATF 135 II 161 consid. 3).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p. 54, ATF 118 II 235 consid. 3b p. 238),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p. 198 s.; arrêt du Tribunal administratif fédéral C-8121/2008 du 6 septembre 2010 consid. 3.3).</w:t>
      </w:r>
    </w:p>
    <w:p>
      <w:r>
        <w:rPr>
          <w:b/>
        </w:rPr>
        <w:t>E. 4.1</w:t>
      </w:r>
    </w:p>
    <w:p>
      <w:r>
        <w:t>Avec l'assentiment de l'autorité du canton d'origine, l'ODM peut, dans le délai prévu par la loi, annuler la naturalisation ou la réintégration obtenue par des déclarations mensongères ou par la dissimulation de faits essentiels (cf. art. 41 al. 1 LN) et qui n'aurait pas été accordée si ces faits avaient été connus (cf. Message du Conseil fédéral relatif à un projet de loi sur l'acquisition et la perte de la nationalité suisse du 9 août 1951, in: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précité, ibid.). Tel est notamment le cas si le requérant déclare vivre en communauté stable avec son conjoint, alors qu'il envisage de se séparer une fois obtenue la naturalisation facilitée; peu importe que son mariage se soit ou non déroulé jusqu'ici de manière harmonieuse (arrêt du Tribunal fédéral 1C_517/2010 du 7 mars 2011 consid. 3.1).</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p. 403 et références citées). La procédure administrative fédérale est régie par le principe de la libre appréciation des preuves (cf. art. 40 de la loi fédérale du 4 décembre 1947 de procédure civile fédérale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 cf. à ce sujet ATF 132 II 113 consid. 3.2 p. 115s.), mais encore de son propre intérêt, de renverser cette présomption (cf. ATF 135 II précité et références citées).</w:t>
      </w:r>
    </w:p>
    <w:p>
      <w:r>
        <w:rPr>
          <w:b/>
        </w:rPr>
        <w:t>E. 4.3</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précité, ibid., et la jurisprudence citée). 5.A titre préliminaire, le Tribunal constate que les conditions formelles de l'annulation de la naturalisation facilitée prévues par l'art. 41 LN sont réalisées dans le cas particulier. En effet, la naturalisation facilitée accordée à la recourante le 18 août 2010 a été annulée par l'autorité inférieure en date du 26 mars 2012, soit avant l'échéance du délai péremptoire prévu par la disposition légale, avec l'assentiment de l'autorité compétente du canton d'origine (Genève).</w:t>
      </w:r>
    </w:p>
    <w:p>
      <w:r>
        <w:rPr>
          <w:b/>
        </w:rPr>
        <w:t>E. 6.1</w:t>
      </w:r>
    </w:p>
    <w:p>
      <w:r>
        <w:t>Il reste dès lors à examiner si les circonstances du cas d'espèce répondent aux conditions matérielles de l'annulation de la naturalisation facilitée résultant du texte de la loi, de la volonté du législateur et de la jurisprudence développée en la matière. Dans son prononcé du 26 mars 2012, l'autorité inférieure a retenu que, contrairement à la déclaration du 28 juin 2010, le mariage de A._______ et de B._______ n'était alors plus constitutif d'une communauté conjugale effective et stable telle qu'exigée par la loi et définie par la jurisprudence. L'ODM a notamment considéré que les difficultés financières qui ont eu raison du mariage des époux A._______-B._______ étaient apparues quelques mois déjà après la conclusion de l'union et que l'ex-époux de la recourante avait indiqué, dans ses déclarations du 13 décembre 2011, qu'il avait quitté à trois reprises le domicile conjugal, la première fois en juillet 2008. L'ODM en a conclu que l'addiction de l'ex-époux et son changement d'attitude vis-à-vis de la recourante devant les reproches qu'elle lui adressait à cet égard n'étaient pas constitutifs d'un événement extraordinaire pouvant expliquer la soudaine rupture du lien conjugal après l'octroi de la naturalisation facilitée. L'examen des faits pertinents de la cause, ainsi que leur déroulement chronologique amènent le Tribunal à une conclusion identique.</w:t>
      </w:r>
    </w:p>
    <w:p>
      <w:r>
        <w:rPr>
          <w:b/>
        </w:rPr>
        <w:t>E. 6.2</w:t>
      </w:r>
    </w:p>
    <w:p>
      <w:r>
        <w:t>Il s'impose de constater d'abord que la rapidité de la désunion des époux A._______-B._______ après l'octroi de la naturalisation facilitée à la recourante constitue un élément tendant à démontrer que la communauté conjugale n'était déjà plus effective lors de la signature de la déclaration commune du 28 juin 2010, respectivement lors de l'octroi de la naturalisation facilitée. Les époux A._______-B._______ se sont en effet définitivement séparés, par une décision unilatérale du mari, le 3 novembre 2010, soit quatre mois et demi seulement après la signature, le 28 juin 2010, de la déclaration commune relative à la stabilité de leur union. Les époux ont ensuite introduit, le 9 mars 2011, une requête commune en divorce, lequel a été prononcé le 27 juin 2011. Or, il est conforme à la jurisprudence en la matière d'admettre une présomption de fait selon laquelle la communauté conjugale n'était pas stable lors de l'octroi de la naturalisation si l'ouverture d'une procédure de divorce intervient, comme en l'espèce, sept mois plus tard (voir en ce sens notamment l'arrêt du Tribunal fédéral 1C_172/2012 du 11 mai 2012 consid. 2.3 et la jurisprudence citée).</w:t>
      </w:r>
    </w:p>
    <w:p>
      <w:r>
        <w:rPr>
          <w:b/>
        </w:rPr>
        <w:t>E. 7.1</w:t>
      </w:r>
    </w:p>
    <w:p>
      <w:r>
        <w:t>A ce stade, il convient donc de déterminer si A._______ a pu renverser cette présomption en rendant vraisemblable, soit la survenance d'un événement extraordinaire survenu après l'octroi de la naturalisation facilitée susceptible d'expliquer une dégradation aussi rapide du lien conjugal, soit l'absence de conscience de la gravité de ses problèmes de couple au moment de la signature de la déclaration commune.</w:t>
      </w:r>
    </w:p>
    <w:p>
      <w:r>
        <w:rPr>
          <w:b/>
        </w:rPr>
        <w:t>E. 7.2</w:t>
      </w:r>
    </w:p>
    <w:p>
      <w:r>
        <w:t>Il sied de remarquer, en premier lieu, que la recourante n'a pas rendu vraisemblable la survenance d'un événement extraordinaire de nature à expliquer la soudaine séparation du couple dans les mois qui ont suivi sa naturalisation facilitée, le départ de B._______ ne pouvant guère être considéré comme un événement totalement imprévisible. L'argumentation développée sur ce point, selon laquelle B._______ avait alors adopté un comportement qui avait brusquement mis fin à leur union ne convainc pas. Il apparaît bien plus que la séparation des époux A._______-B._______ a été, en réalité, le résultat d'un long processus durant lequel le comportement et l'instabilité financière de B._______ sont devenus de moins en moins supportables pour la recourante, jusqu'à provoquer la rupture définitive de leur union par le départ de l'époux du domicile conjugal. Cette appréciation est d'ailleurs confirmée par les termes utilisés par la belle mère de la recourante dans le courriel qu'elle lui a adressé le 25 novembre 2010 (pièce 11 du bordereau du recours), où l'intéressée, parlant de son fils B._______, évoquait "la vie qu'il t'a fait mener ces deux dernières années", formulation dont il est permis de conclure que le couple ne vivait plus, et depuis fort longtemps, en bonne harmonie. Dans ces circonstances, la recourante devait, et à l'évidence, avoir eu conscience des sérieux problèmes du couple lorsqu'elle a contresigné, le 28 juin 2010, la déclaration commune relative à la stabilité de cette union conjugale. Il ressort en effet de la jurisprudence en la matière que les éventuelles difficultés qui peuvent surgir entre époux, après plusieurs années de vie commune, dans une communauté de vie effective, intacte et stable, n'entraînent la désunion, selon l'expérience générale, qu'au terme d'un processus prolongé de dégradation des rapports conjugaux, en principe entrecoupés de tentatives de réconciliation (cf. arrêt du Tribunal fédéral 1C_493/2010 du 28 février 2011 consid. 6 et jurisprudence citée). Dans ce contexte, le fait que les époux aient passé ensemble des vacances en Tunisie du 5 au 12 juin 2010, soit quelques semaines seulement avant l'octroi de la naturalisation facilitée à la recourante, ne constitue pas un argument suffisant à démontrer que le couple, en proie à une crise latente durable, vivait alors à nouveau en parfaite harmonie, pour se séparer définitivement cinq mois plus tard. En conclusion, le Tribunal de céans est d'avis qu'il y a lieu de s'en tenir à la présomption de fait que la naturalisation facilitée a été obtenue de façon frauduleuse. Partant, même s'il apparaît que les époux A._______-B._______ ont sans doute eu la volonté de fonder une communauté conjugale effective, au sens de l'art. 27 LN, l'ODM pouvait considérer, à bon droit, que cette volonté n'existait plus lors de la signature de la déclaration commune et, a fortiori, au moment de l'octroi de la nationalité facilitée. Or, celle-ci n'aurait pas été accordée à la recourante, si l'autorité intimée avait eu connaissance de la réelle situation du couple lors de la décision de naturalisation. 8.Il ressort de ce qui précède que la décision de l'ODM du 26 mars 2012, est conforme au droit. Le recours est en conséquence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