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C-2316/2010 vom 20. Dezember 2011</w:t>
      </w:r>
    </w:p>
    <w:p>
      <w:r>
        <w:t>Bundesverwaltungsgericht, 2011-12-20, DE</w:t>
      </w:r>
    </w:p>
    <w:p>
      <w:r>
        <w:rPr>
          <w:b/>
        </w:rPr>
        <w:t xml:space="preserve">Quelle: </w:t>
      </w:r>
      <w:r>
        <w:t>https://mcp.opencaselaw.ch/entscheid/bvger_C-2316_2010</w:t>
      </w:r>
    </w:p>
    <w:p>
      <w:r>
        <w:t>FR: TAF C-2316/2010 du 20 décembre 2011</w:t>
      </w:r>
    </w:p>
    <w:p>
      <w:r>
        <w:t>IT: TAF C-2316/2010 del 20 dicembre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Die Vorinstanz schliesst in der angefochtenen Verfügung vom 4. De­zember 2009 auf einen Verstoss gegen die öffentliche Sicherheit und Ordnung bzw. eine Gefährdung dieser Schutzgüter und stützt die Mass­nahme auf Art. 67 Abs. 1 Bst. a des Ausländergesetzes vom 16. De­zember 2005 (AuG, SR 142.20) in der damals gültigen Fassung (AS 2007 5437).</w:t>
      </w:r>
    </w:p>
    <w:p>
      <w:r>
        <w:rPr>
          <w:b/>
        </w:rPr>
        <w:t>E. 3.2</w:t>
      </w:r>
    </w:p>
    <w:p>
      <w:r>
        <w:t>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allerdings im Falle des Beschwer­deführers nicht von Relevanz. Denn der zuvor in Art. 67 Abs. 1 AuG geregelte Fernhaltegrund des Verstosses gegen die öffentliche Sicher­heit und Ordnung wurde unverändert in Abs. 2 der neuen Norm über­nommen. Betroffen ist der Beschwerdeführer auch nicht von der Neu­formulierung in Art. 67 Abs. 3 AuG, steht doch kein Einreiseverbot von mehr als fünf Jahren zur Diskussion. Der Anwendung des neuen Rechts - auf das nachfolgend der Einfachheit halber allein Bezug genom­men wird - steht somit nichts entgegen.</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w:t>
      </w:r>
    </w:p>
    <w:p>
      <w:r>
        <w:rPr>
          <w:b/>
        </w:rPr>
        <w:t>E. 3.4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4.1</w:t>
      </w:r>
    </w:p>
    <w:p>
      <w:r>
        <w:t>Mit der Begehung von Vermögensdelikten wird unbestreitbar die objek­tive Rechtsordnung verletzt und werden Rechtsgüter einzelner tan­giert. Es steht deshalb ausser Frage, dass solche Delinquenz in Anwen­dung von Art. 67 Abs. 2 Bst. a AuG zum Anlass eines Einreiseverbots ge­nommen werden kann.</w:t>
      </w:r>
    </w:p>
    <w:p>
      <w:r>
        <w:rPr>
          <w:b/>
        </w:rPr>
        <w:t>E. 4.2</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4.3</w:t>
      </w:r>
    </w:p>
    <w:p>
      <w:r>
        <w:t>Objektiv gesehen ist vorliegend von einem gewichtigen Interesse an ei­ner zeitlich befristeten Fernhaltung auszugehen. Durch Delikte gegen das Eigentum im Allgemeinen und Ladendiebstähle im Besonderen entste­hen in der Schweiz regelmässig grosse wirtschaftliche Schäden. Wer­den solche Delikte durch ausländische Personen verübt, die nicht über ein Anwesenheitsrecht verfügen und vermutungsweise eigens zu diesem Zweck einreisen, so stellen Einreiseverbote aus präventivpolizeilicher Sicht regelmässig ein geeignetes Mittel dar, wenn es darum geht, überführte Täter an der Begehung weiterer solcher Delikte zu hindern und potentielle Täter von gleichartigen Gesetzesverstössen abzuhalten.</w:t>
      </w:r>
    </w:p>
    <w:p>
      <w:r>
        <w:rPr>
          <w:b/>
        </w:rPr>
        <w:t>E. 4.4</w:t>
      </w:r>
    </w:p>
    <w:p>
      <w:r>
        <w:t>Ein gewichtiges öffentliches Interesse an der Fernhaltung ist im Falle des Beschwerdeführers aber auch aus einer subjektiven Betrachtung her­aus zu bejahen. So versuchte er schon bei den Strafermittlern, die Dieb­stähle als einmalige Gefälligkeit gegenüber einer ihm nicht näher bekann­ten Drittperson darzutun, was definitiv nicht überzeugen kann. Tatsache ist, dass er über ein Werkzeug zur Entfernung von Diebstahlsicherungen verfügte und dieses bei seinem Gang durch die Kleiderabteilungen zweier Warenhäuser auch einsetzte, was schon für sich allein auf eine gewisse Professionalität und Planung schliessen lässt. Tritt hinzu, dass er schon den Zweck seiner Anwesenheit in der Schweiz nicht plausibel erklären konnte und zu seinem persönlichen Umfeld nichts preisgab. Schliesslich hat er im Beschwerdeverfahren auf die Vorhaltung der Vorinstanz nicht rea­giert, wonach er in der Vergangenheit gegenüber Behörden schon un­ter verschiedensten Identitäten aufgetreten und unter einer dieser Identitä­ten sogar im SIS ausgeschrieben ist. Vor diesem Hintergrund durfte die Vorinstanz von der reellen Gefahr ausgehen, dass der Beschwer­deführer auch in Zukunft gegen die öffentliche Sicher­heit und Ordnung verstossen könnte.</w:t>
      </w:r>
    </w:p>
    <w:p>
      <w:r>
        <w:rPr>
          <w:b/>
        </w:rPr>
        <w:t>E. 4.5</w:t>
      </w:r>
    </w:p>
    <w:p>
      <w:r>
        <w:t>Dass der Strafbefehlsrichter den Vollzug der Geldstrafe bedingt aufgeschoben hat, schränkt das der Vorinstanz zukommende Entschlies­sungsermessen nicht ein. Denn strafrechtliche Sanktionen und migrationsrechtliche Massnahmen verfolgen unterschiedliche Zwecke. Während für den Strafrichter namentlich der Aspekt der möglichen Wieder­eingliederung in die Gesellschaft massgeblich ist und dabei Unsicher­heiten über künftiges Wohlverhalten bis zu einem gewissen Grad in Kauf genommen werden, steht für die Ausländerbehörde das Interesse an einer Wahrung der öffentlichen Sicherheit und Ordnung im Vordergrund (vgl. BGE 130 II 493 E. 4.2 S. 500 f.; BGE 125 II 105 E. 2c S. 109 f.; BGE 122 II 433 E. 2b und c S. 435 ff.). Aus der umfassenden Inte­ressen­abwägung ergibt sich ein im Vergleich mit den Straf- und Strafvoll­zugsbehörden strengerer Beurteilungsmassstab der Migrationsbe­hörde (BGE 120 Ib 129 E. 5b S. 132; BGE 114 Ib E. 3a S. 4).</w:t>
      </w:r>
    </w:p>
    <w:p>
      <w:r>
        <w:rPr>
          <w:b/>
        </w:rPr>
        <w:t>E. 4.6</w:t>
      </w:r>
    </w:p>
    <w:p>
      <w:r>
        <w:t>Spezifische persönliche Interessen daran, auch in naher Zukunft ohne besondere (über die Visumspflicht hinausgehende) Restriktionen in die Schweiz einreisen zu können, macht der Beschwerdeführer keine geltend.</w:t>
      </w:r>
    </w:p>
    <w:p>
      <w:r>
        <w:rPr>
          <w:b/>
        </w:rPr>
        <w:t>E. 4.7</w:t>
      </w:r>
    </w:p>
    <w:p>
      <w:r>
        <w:t>Das Bundesverwaltungsgericht kommt daher zum Schluss, dass das auf drei Jahre befristete Einreiseverbot eine verhältnismässige und angemessene Massnahme zum Schutze der öffentlichen Sicherheit und Ordnung darstellt.</w:t>
      </w:r>
    </w:p>
    <w:p>
      <w:r>
        <w:rPr>
          <w:b/>
        </w:rPr>
        <w:t>E. 5</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Entsprechend dem Ausgang des Verfahrens sind dem Beschwerdeführer die Kosten aufzuerlegen (Art. 63 Abs. 1 VwVG i.V.m.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