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C-2305/2012 vom 2. Mai 2013</w:t>
      </w:r>
    </w:p>
    <w:p>
      <w:r>
        <w:t>Bundesverwaltungsgericht, 2013-05-02, FR</w:t>
      </w:r>
    </w:p>
    <w:p>
      <w:r>
        <w:rPr>
          <w:b/>
        </w:rPr>
        <w:t xml:space="preserve">Quelle: </w:t>
      </w:r>
      <w:r>
        <w:t>https://mcp.opencaselaw.ch/entscheid/bvger_C-2305_2012</w:t>
      </w:r>
    </w:p>
    <w:p>
      <w:r>
        <w:t>FR: TAF C-2305/2012 du 2 mai 2013</w:t>
      </w:r>
    </w:p>
    <w:p>
      <w:r>
        <w:t>IT: TAF C-2305/2012 del 2 maggio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Sous peine d'irrecevabilité, le mémoire de recours doit indiquer les conclusions, les motifs et la signature du recourant (cf. art. 52 al. 1 et 3 PA). Selon la jurisprudence, un recours qui ne comporte que des arguments sur le fond alors qu'il s'élève contre un jugement d'irrecevabilité ne contient pas une motivation topique (cf. ATF 123 V 335). Il en va de même s'agissant d'un recours contre une décision de non-entrée en matière. Par décision du 12 mars 2012, l'autorité inférieure a refusé d'examiner la nouvelle demande de rente présentée par le recourant. Or, les conclusions du recourant ne sont pas claires. En concluant implicitement à l'octroi d'une rente, il semble considérer que la décision attaquée est une décision de rejet de prestations alors qu'il s'agit d'une non-entrée en matière. La Cour de céans ne peut que déclarer irrecevable tout chef de conclusion concernant l'octroi de prestations d'invalidité. Ceci dit, quand bien même le recourant n'indique pas les motifs pour lesquels, à son avis, l'autorité inférieure aurait dû rentrer en matière, on peut aisément déduire de son argumentation au fond qu'il estime que sa situation s'est détériorée de sorte que de nouvelles investigations se justifient.</w:t>
      </w:r>
    </w:p>
    <w:p>
      <w:r>
        <w:rPr>
          <w:b/>
        </w:rPr>
        <w:t>E. 1.5</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w:t>
      </w:r>
    </w:p>
    <w:p>
      <w:r>
        <w:rPr>
          <w:b/>
        </w:rPr>
        <w:t>E. 4.1</w:t>
      </w:r>
    </w:p>
    <w:p>
      <w:r>
        <w:t>La décision dont est recours fait suite à une première demande de rente ayant été rejetée par décision du 30 août 2010 de l'OAIE pour un taux d'invalidité de 23% qui entra en force.</w:t>
      </w:r>
    </w:p>
    <w:p>
      <w:r>
        <w:rPr>
          <w:b/>
        </w:rPr>
        <w:t>E. 4.2</w:t>
      </w:r>
    </w:p>
    <w:p>
      <w:r>
        <w:t>En application de l'art. 87 al. 2 et 3 du règlement du 17 janvier 1961 sur l'assurance-invalidité (RAI, RS 831.201) selon leur teneur en vigueur au 1er janvier 2012, lorsque la rente (...) a été refusée parce que le degré d'invalidité était insuffisant, la nouvelle demande ne peut être examinée que si elle établit de façon plausible que l'invalidité (...)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ATF 117 V 198 consid. 4b et les références; arrêt du Tribunal fédéral 9C_516/2012 du 3 janvier 2013 consid. 2). Il appartient au demandeur d'apporter la preuve de la péjoration de son état de santé. Le principe inquisitoire ne s'applique pas à la procédure prévue par l'art. 87 al. 3 RAI (ATF 130 V 64; arrêt du Tribunal fédéral 9C_920/2010 du 18 octobre 2011 consid. 3.2).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dans le cadre d'un examen par analogie à celui requis par l'art. 17 LPGA (ATF 130 V 71 consid. 3.2, ATF 130 V 343 consid. 3.5.2; arrêt du Tribunal fédéral 9C_516/2012 cité consid. 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ATF du 8 janvier 2007 cause I 597/05).</w:t>
      </w:r>
    </w:p>
    <w:p>
      <w:r>
        <w:rPr>
          <w:b/>
        </w:rPr>
        <w:t>E. 4.5</w:t>
      </w:r>
    </w:p>
    <w:p>
      <w:r>
        <w:t>Il faut dès lors examiner la question de savoir si c'est à juste titre que l'administration a rendu une décision de refus d'entrer en matière au vu de la documentation produite et de la nature des atteintes à la santé de l'assuré.</w:t>
      </w:r>
    </w:p>
    <w:p>
      <w:r>
        <w:rPr>
          <w:b/>
        </w:rPr>
        <w:t>E. 5.1</w:t>
      </w:r>
    </w:p>
    <w:p>
      <w:r>
        <w:t>En l'espèce, par décision du 30 août 2010 l'OAIE rejeta la 1ère demande de prestations de l'intéressé au motif qu'il était ressorti de son dossier une incapacité de travail dans sa dernière activité lucrative de 60% mais qu'en revanche l'exercice d'une activité lucrative plus légère, mieux adaptée à son état de santé, sans port de charge de plus de 7kg et sans travaux lourds [telles celles énoncées par le Dr B._______] était exigible à 100% avec une perte de gain de 23% et que ce taux d'invalidité était insuffisant par rapport au taux seuil de 40% pour ouvrir le droit à une rente. L'OAIE se fonda sur le rapport médical du Dr B._______ du 13 mai 2010 qui retint le diagnostic de maladie coronarienne chronique, status après angioplastie et pose d'un stent. Il releva une sténose importante et la persistance de douleurs subjectives rétrosternales justifiant la diminution de la capacité de travail retenue.</w:t>
      </w:r>
    </w:p>
    <w:p>
      <w:r>
        <w:rPr>
          <w:b/>
        </w:rPr>
        <w:t>E. 5.2</w:t>
      </w:r>
    </w:p>
    <w:p>
      <w:r>
        <w:t>Par acte du 11 novembre 2011, soit quelque une année et demi plus tard, l'intéressé sollicita une nouvelle évaluation de son invalidité dont il résulta de la documentation médicale fournie un infarctus en raison d'une thrombose au niveau du stent posé et la pose de deux nouveaux stents en juin 2011. Or sur cette base l'OAIE reconnut une modification de l'incapacité de travail dans son activité habituelle passant de 60% à 80% mais toujours une pleine capacité de travail dans des activités de substitution légères. Il précisa que cela ne modifiait pas son droit à des prestations de l'assurance-invalidité. Il prononça une non-entrée en matière sur la nouvelle demande par décision du 12 mars 2012 faisant valoir que l'intéressé n'avait pas établi de manière plausible que son invalidité s'était modifiée de manière à influencer le droit aux prestations. Ce faisant l'OAIE a nouvellement apprécié la capacité résiduelle de travail de l'intéressé en reconnaissant que dans son ancienne activité son incapacité de travail était passée de 60% à 80%, tout en reconnaissant toujours une pleine capacité de travail dans des activités de substitution, sans cependant procéder à un examen complet de son invalidité et de sa capacité résiduelle de travail selon la procédure inquisitoire.</w:t>
      </w:r>
    </w:p>
    <w:p>
      <w:r>
        <w:rPr>
          <w:b/>
        </w:rPr>
        <w:t>E. 5.3</w:t>
      </w:r>
    </w:p>
    <w:p>
      <w:r>
        <w:t>Ce mode de procéder ne peut être confirmé en l'espèce, d'autant plus que l'intéressé, suite au nouvel infarctus du 28 juin 2011, souffre d'atteintes à la santé de nature ischémique qui semblent s'être accrues chez un sujet dans la cinquantaine. Il présente en outre une fraction d'éjection réduite (38%) qui diminue considérablement sa capacité de fournir des efforts physiques. Les nouveaux rapports médicaux produits en cours de procédure ne permettent donc pas d'exclure assurément une détérioration de son état de santé. À ce propos, il convient de rappeler que l'existence d'un simple indice en faveur d'une aggravation de l'état de santé suffit pour obliger l'administration à entrer en matière sur une nouvelle demande de rente (cf. consid. 4.2 ci-dessus). Or, d'une part, l'infarctus subi le 28 juin 2011 constitue un indice suffisant pour devoir procéder à un nouvel examen matériel, d'autre part, la documentation médicale produite ne permet pas d'effectuer un tel examen. Bien que l'autorité dispose d'un large pouvoir d'appréciation dans le cadre de l'application de l'art. 87 al. 2 et al. 3 RAI, elle ne pouvait ainsi faire tout bonnement fi des nouvelles observations et conclusions du rapport médical du 4 juillet 2011 du Dr D._______ produit par le recourant en procédure d'audition. Ainsi le recourant a rendu plausible la survenance de modifications susceptibles d'avoir des effets sur son taux d'invalidité, ce qui aurait dû avoir pour conséquence que l'autorité inférieure entre en matière sur la nouvelle demande en procédant à son instruction.</w:t>
      </w:r>
    </w:p>
    <w:p>
      <w:r>
        <w:rPr>
          <w:b/>
        </w:rPr>
        <w:t>E. 6</w:t>
      </w:r>
    </w:p>
    <w:p>
      <w:r>
        <w:t>Au vu de ce qui précède, le recours, pour autant que recevable (cf. consid. 1.4), doit être admis. La décision du 12 mars 2012 est annulée et la cause est renvoyée à l'autorité inférieure afin qu'elle entre en matière sur la demande du recourant. Elle instruira la cause au fond; elle vérifiera que les modifications rendues plausibles par l'assuré sont réellement intervenues. Si l'administration constate que l'invalidité ne s'est pas modifiée depuis la décision précédente, passée en force, elle rejettera la demande. Sinon, elle devra encore examiner si la modification constatée suffit à fonder une invalidité donnant droit à des prestations et statuer en conséquence (arrêt du Tribunal fédéral I 132/03 du 26 avril 2005 consid. 2).</w:t>
      </w:r>
    </w:p>
    <w:p>
      <w:r>
        <w:rPr>
          <w:b/>
        </w:rPr>
        <w:t>E. 7.1</w:t>
      </w:r>
    </w:p>
    <w:p>
      <w:r>
        <w:t>Compte tenu de l'issu du litige, il n'est pas perçu de frais de procédure (art. 63 al. 1 et 2 PA). En conséquence, l'avance de frais de 400 francs déjà versée par le recourant lui sera restituée sur le compte bancaire qu'il aura désigné, une fois le présent arrêt entré en force.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du moins de façon apparente, à un mandataire, et il n'est pas démontré qu'il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