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C-2300/2024 vom 4. Juli 2024</w:t>
      </w:r>
    </w:p>
    <w:p>
      <w:r>
        <w:t>Bundesverwaltungsgericht, 2024-07-04, DE</w:t>
      </w:r>
    </w:p>
    <w:p>
      <w:r>
        <w:rPr>
          <w:b/>
        </w:rPr>
        <w:t xml:space="preserve">Quelle: </w:t>
      </w:r>
      <w:r>
        <w:t>https://mcp.opencaselaw.ch/entscheid/bvger_C-2300_2024</w:t>
      </w:r>
    </w:p>
    <w:p>
      <w:r>
        <w:t>FR: TAF C-2300/2024 du 4 juillet 2024</w:t>
      </w:r>
    </w:p>
    <w:p>
      <w:r>
        <w:t>IT: TAF C-2300/2024 del 4 luglio 2024</w:t>
      </w:r>
    </w:p>
    <w:p>
      <w:pPr>
        <w:pStyle w:val="Heading2"/>
      </w:pPr>
      <w:r>
        <w:t>Regeste</w:t>
      </w:r>
    </w:p>
    <w:p>
      <w:r>
        <w:t>Heilmittel (Übriges)</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wird keine Parteientschädigung zugesprochen.</w:t>
      </w:r>
    </w:p>
    <w:p>
      <w:r>
        <w:rPr>
          <w:b/>
        </w:rPr>
        <w:t>E. 4</w:t>
      </w:r>
    </w:p>
    <w:p>
      <w:r>
        <w:t>Dieser Entscheid geht an die Beschwerdeführerin, die Vorinstanz und das VBS. Für die Rechtsmittelbelehrung wird auf die nächste Seite verwiesen. Der Einzelrichter: Die Gerichtsschreiberin: David Weiss Fiona Schneider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