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C-229/2014 vom 23. März 2015</w:t>
      </w:r>
    </w:p>
    <w:p>
      <w:r>
        <w:t>Bundesverwaltungsgericht, 2015-03-23, DE</w:t>
      </w:r>
    </w:p>
    <w:p>
      <w:r>
        <w:rPr>
          <w:b/>
        </w:rPr>
        <w:t xml:space="preserve">Quelle: </w:t>
      </w:r>
      <w:r>
        <w:t>https://mcp.opencaselaw.ch/entscheid/bvger_C-229_2014</w:t>
      </w:r>
    </w:p>
    <w:p>
      <w:r>
        <w:t>FR: TAF C-229/2014 du 23 mars 2015</w:t>
      </w:r>
    </w:p>
    <w:p>
      <w:r>
        <w:t>IT: TAF C-229/2014 del 23 marzo 2015</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VwVG, sofern kein Ausnahmetatbestand erfüllt ist (vgl. Art. 31 und 32 VGG).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Schweizerischen Ausgleichskasse SAK vom 12. Dezember 2013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Gegenstand der Beschwerde ist einzig die Frage, ob die Beschwerdeführerin ab dem 1. September oder ab dem 1. Oktober 2013 Anspruch auf die Ausrichtung einer ordentlichen Waisenrente (Vater) hat. Die Beschwerdeführerin hat nach der Beendigung des Vollzeitpraktikums am 14. September 2012 die Ausbildung unterbrochen, nachdem sie sich vergeblich um einen Studienplatz ab September 2012 bemüht hatte. Selbst wenn lediglich ein Unterbruch der Ausbildung angenommen würde, handelte es sich um einen solchen von fast 12 Monaten, der keine Unterbrechung darstellt, die im Sinn von Art. 49ter Abs. 3 der Verordnung vom 31. Oktober 1947 über die Alters- und Hinterlassenenversicherung (AHVV; SR 831.101) nicht als solche gelten würde.</w:t>
      </w:r>
    </w:p>
    <w:p>
      <w:r>
        <w:rPr>
          <w:b/>
        </w:rPr>
        <w:t>E. 4</w:t>
      </w:r>
    </w:p>
    <w:p>
      <w:r>
        <w:t>Im Sozialversicherungsrecht ist der Grundsatz, dass ein Rentenanspruch am nächstfolgenden Monat nach Eintritt des anspruchsbegründenden Ereignisses beginnt, weit verbreitet. Nach Art. 21 Abs. 2 AHVG entsteht der Anspruch auf die Altersrente am ersten Tag des Monats, welcher der Vollendung des massgebenden Altersjahres folgt. Gleiches gilt für den Beginn der Kinderrente (Scartazzini/Hürzeler, Bundessozialversicherungsrecht, 4. Aufl. Basel 2012, S. 141), für die Witwenrente (Art. 23 Abs. 3 AHVG), im Falle der Adoption eines Pflegekindes (Art. 23 Abs. 3 AHVG) und der Anspruch auf eine Waisenrente (Art. 25 Abs. 4 AHVG). Entsprechend hielt das eidgenössische Versicherungsgericht im Entscheid EVGE 1965 20 ff. (erwähnt in Kieser, Rechtsprechung des Bundesgerichts zum Sozialversicherungsrecht, Bundesgesetz über die Alters- und Hinterlassenenversicherung, 3. Auflage 2012, Art. 25 AHVG, Rz. 4) fest, dass wer eine Ausbildung erst nach Vollendung des 18. Altersjahrs aufnimmt, die Waisenrente erst vom ersten Tag des Kalendermonats an erhält, welcher dem Beginn der Ausbildung folgt. Es ist deshalb durchaus folgerichtig, wenn Rz. 3322 der Wegleitung über die Renten in der Eidgenössischen Alters-, Hinterlassenen- und Invalidenversicherung (RWL) festlegt, dass die Rente mit dem Monat nach Beginn der Ausbildung zu laufen beginnt. Auch bei einer früheren Information darüber hätte der Beschwerdeführerin kein früherer Rentenbeginn angeboten werden können. Das Semester an der Hochschule, bei der sie sich immatrikuliert hatte, begann am 1. September 2013 (SAK-act. 41), die Rentenzahlung somit am 1. Oktober 2013. Die Beschwerde ist deshalb abzuweisen.</w:t>
      </w:r>
    </w:p>
    <w:p>
      <w:r>
        <w:rPr>
          <w:b/>
        </w:rPr>
        <w:t>E. 5</w:t>
      </w:r>
    </w:p>
    <w:p>
      <w:r>
        <w:t>Das Verfahren ist kostenlos (Art. 85bis Abs. 2 AHVG). Eine Parteientschädigung steht der unterliegenden Beschwerdeführerin nicht zu, ebenso wenig der obsiegenden Vorinstanz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