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C-2292/2008 vom 10. Februar 2010</w:t>
      </w:r>
    </w:p>
    <w:p>
      <w:r>
        <w:t>Bundesverwaltungsgericht, 2010-02-10, IT</w:t>
      </w:r>
    </w:p>
    <w:p>
      <w:r>
        <w:rPr>
          <w:b/>
        </w:rPr>
        <w:t xml:space="preserve">Quelle: </w:t>
      </w:r>
      <w:r>
        <w:t>https://mcp.opencaselaw.ch/entscheid/bvger_C-2292_2008</w:t>
      </w:r>
    </w:p>
    <w:p>
      <w:r>
        <w:t>FR: TAF C-2292/2008 du 10 février 2010</w:t>
      </w:r>
    </w:p>
    <w:p>
      <w:r>
        <w:t>IT: TAF C-2292/2008 del 10 febbraio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se di principio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nel caso concreto, e dal momento che è stabilito che la domanda dell'insorgente avente per oggetto l'ottenimento di una rendita dell'assicurazione svizzera per l'invalidità è stata presentata il 30 maggio 2006, il diritto eventuale a una rendita deve essere esaminato alla luce delle disposizioni della LAI in vigore fino al 31 dicembre 2007 (cfr. sentenza del Tribunale federale 8C_48/2009 del 29 aprile 2009 consid. 4).</w:t>
      </w:r>
    </w:p>
    <w:p>
      <w:r>
        <w:rPr>
          <w:b/>
        </w:rPr>
        <w:t>E. 3.3</w:t>
      </w:r>
    </w:p>
    <w:p>
      <w:r>
        <w:t>Il ricorrente ha presentato la richiesta di rendita il 30 maggio 2006. In deroga all'art. 24 LPGA, l'art. 48 cpv. 2 LAI (nel suo tenore in vigore fino al 31 dicembre 2007) precisa che, se l'assicurato si annuncia più di dodici mesi dopo l'inizio del diritto, le prestazioni sono assegnate soltanto per i 12 mesi precedenti la richiesta. In concreto, questo Tribunale può limitarsi ad esaminare se il ricorrente avesse diritto ad una rendita il 30 maggio 2005 (ossia 12 mesi precedenti la presentazione della domanda), oppure se un diritto alla rendita sia sorto tra tale data e il 22 febbraio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28a e 29 LAI); aver pagato i contributi all'AVS/AI svizzera o ad un'assicurazione sociale assimilata (FF 2005 p. 4065; art. 45 del regolamento 1408/71) di uno Stato membro dell'Unione europea (UE) o dell'Associazione europea di libero scambio (AELS), durante un anno intero (art. 36 cpv. 1 LAI), ferma restando la necessità di un periodo contributivo minimo in Svizzera di un anno (art. 36 cpv. 2 LAI in combinazione con l'art. 29 cpv. 1 LAVS; cfr. DTF 130 V 335 consid. 3 e 4). Il ricorrente ha versato contributi all'AVS/AI svizzera durante più di tre anni interi in totale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(art. 28 cpv. 2 LAI a partire dal 1° gennaio 2008),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(art. 29 cpv. 4 a partire dal 1° gennaio 2008),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(art.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28 cpv. 2bis LAI [art. 28a cpv. 1 LAI a partire dal 1° gennaio 2008] in combinazione con l'art.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secondo l'art. 28 cpv. 2ter LAI (art. 28a cpv. 3 LAI a partire dal 1° gennaio 2008),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di principio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tachiaritmia da fibrillazione atriale in soggetto in terapia con anticoagulante con miocardiopatia ipocinetica lieve-moderata, con coronarie angiograficamente indenni ed ipertensione arteriosa (cfr. fra l'altro la perizia medica particolareggiata E 213 del 10 settembre 2007 pag. 7 [doc. 41]) nonché bronchite cronica, lombalgie ed obesità (BMI 29).</w:t>
      </w:r>
    </w:p>
    <w:p>
      <w:r>
        <w:rPr>
          <w:b/>
        </w:rPr>
        <w:t>E. 9.2</w:t>
      </w:r>
    </w:p>
    <w:p>
      <w:r>
        <w:t>Si tratta di affezioni di carattere labile, ossia suscettibili di migliorare o di peggiorare. Ne discende che, in mancanza di uno stato di salute sufficientemente stabilizzato, è inapplicabile la prima lettera dell'art. 29 cpv. 1 LAI (nella versione in vigore fino al 31 dicembre 2007), per cui può entrare in considerazione solo la seconda lettera della citata norma legale, la quale prevede un termine di attesa di un anno. In virtù di tale disposizione, il ricorrente può pretendere una rendita dell'assicurazione svizzera per l'invalidità solo a partire dal momento in cui ha subito, senza interruzione notevole, un'incapacità lavorativa media di almeno il 40% durante un anno.</w:t>
      </w:r>
    </w:p>
    <w:p>
      <w:r>
        <w:rPr>
          <w:b/>
        </w:rPr>
        <w:t>E. 10.1</w:t>
      </w:r>
    </w:p>
    <w:p>
      <w:r>
        <w:t>Occorre quindi determinare se, e a partire da quando, sussista un'incapacità al lavoro del ricorrente rispettivamente un diritto ad una rendita ai sensi delle citate disposizioni di legge.</w:t>
      </w:r>
    </w:p>
    <w:p>
      <w:r>
        <w:rPr>
          <w:b/>
        </w:rPr>
        <w:t>E. 10.2</w:t>
      </w:r>
    </w:p>
    <w:p>
      <w:r>
        <w:t>Dalle carte processuali emerge che, dopo il rimpatrio, il ricorrente ha ancora esercitato un'attività lucrativa. In particolare, da giugno del 2005, è stato alle dipendenze dell'impresa B._______, come manovale edile, in ragione di 40 ore settimanali. Ha interrotto il lavoro il 22 aprile 2006 per ragioni di salute (doc. 12).</w:t>
      </w:r>
    </w:p>
    <w:p>
      <w:r>
        <w:rPr>
          <w:b/>
        </w:rPr>
        <w:t>E. 10.3</w:t>
      </w:r>
    </w:p>
    <w:p>
      <w:r>
        <w:t>Nei loro rapporti del 9 novembre 2007 e del 15 febbraio e 6 giugno 2008, i dott. C._______, del SMR Rhône, e E._______, medico dell'UAIE, hanno in particolare constatato, sulla base della documentazione medica agli atti, che il ricorrente è stato affetto da edema polmonare acuto (febbraio 2006), ha sofferto di fibrillazione atriale, ha subito degli interventi di cardioversione elettica (aprile 2006 e gennaio 2008), che tali interventi hanno comportato un ripristino del normale ritmo cardiaco, che l'insorgente presenta un buon compenso emodinamico e che il medesimo è stato sottoposto a terapia con anticoagulante. Lo stesso è altresì affetto da lombalgie nonché presenta ipertensione arteriosa, bronchite cronica ed obesità. Hanno in particolare ritenuto che l'affezione al cuore (cardiomiopatia con tachiaritmia da fibrillazione atriale) e le lombalgie di cui soffre il ricorrente hanno impedito al medesimo l'esercizio della precedente attività di manovale edile dal febbraio 2006, ma che tali patologie non comportano alcuna limitazione funzionale determinante in un'attività sostitutiva e che teoricamente un'attività confacente al suo stato di salute avrebbe potuto essere esercitata dal 1° marzo 2006. Inoltre, l'ipertensione arteriosa, la bronchite cronica e l'obesità non comportano alcuna ripercussione sulla capacità lavorativa, di modo che anche da questo profilo è esigibile l'esercizio di un'attività leggera adeguata (doc. 44, 53 e 58).</w:t>
      </w:r>
    </w:p>
    <w:p>
      <w:r>
        <w:rPr>
          <w:b/>
        </w:rPr>
        <w:t>E. 10.4</w:t>
      </w:r>
    </w:p>
    <w:p>
      <w:r>
        <w:t>Nella perizia medica particolareggiata E 213 del 10 settembre 2007 (doc. 41), le condizioni di salute dell'insorgente sono state considerate stazionarie e lo stesso è stato ritenuto incapace di svolgere a tempo pieno sia il suo precedente lavoro che un lavoro sostitutivo adeguato. Sennonché tale valutazione medica non è condivisibile, non essendo la stessa corroborata da sufficienti riscontri oggettivi né nella citata perizia né in alti documenti medici agli atti di causa (di data anteriore alla decisione impugnata del 22 febbraio 2008), segnatamente da indicazioni precise, affidabili ed oggettivabili sull'esistenza di problemi di salute maggiori di quelli ritenuti dai medici del SMR Rhône e dell'UAIE e suscettibili d'incidere significativamente sulla capacità lavorativa dell'insorgente in attività leggere confacenti al suo stato di salute. In particolare, dalla documentazione medica agli atti risulta segnatamente che il ricorrente ha sofferto di edema polmonare nel 2006 (doc. 16-2), che il medesimo è affetto da fibrillazione atriale dall'aprile 2006 (doc. 18), è stato sottoposto ad intervento di cardioversione elettrica nel 2006 e nel 2008 (doc. 21-1 e doc. TAF 1), che tali interventi hanno comportato un ripristino del ritmo sinusale (doc. 21-1 e doc. TAF 1), che le coronarie risultano angiograficamente indenni da lesioni significative (doc. 16-2), che gli esami cardiaci fanno stato di lieve dilatazione degli atri (doc. 33) e l'insorgente presenta un buon compenso emodinamico (doc. 16-2, 18, 21-1, 49 e doc. TAF 1). I rapporti cardiaci non comportano altresì alcuna indicazione in merito ad una specifica incapacità lavorativa e neppure al relativo grado in attività sostitutive leggere ed adeguate al caso. Quanto all'ipertensione arteriosa, alla bronchite cronica ed all'obesità, i rapporti medici agli atti non evidenziano complicanze, tantomeno un'incapacità lavorativa in attività sostitutive leggere adeguate allo stato di salute del ricorrente. Neppure le evocate dorsolombalgie (note di spondiloartrosi di L5-S1, sclerosi interfacettaria posteriore L4-S1, modesta listesi anteriore L4-L5; doc. 51), giustificano, sempre secondo il parere dei medici del SMR Rhône e dell'UAIE, delle limitazioni significative in attività sostitutive leggere ed adeguate al caso (alcuno dei documenti agli atti attesta un'inabilità lavorativa con riferimento a tali patologie). Il ricorrente ha invero sottolineato - con scritto del 21 gennaio 2008 successivo al progetto di decisione del 17 dicembre 2007, ma pure in sede di ricorso - che le affezioni di cui soffre giustificano quantomeno un'invalidità del 50% (egli stesso sembra pertanto almeno parzialmente discostarsi dalla valutazione di cui alla perizia particolareggiata E 213), ma non ha prodotto nuova documentazione oggettiva suscettibile di dimostrare la sussistenza della pretesa invalidità. Occorre precisare che nella misura in cui i documenti medici esibiti si riferiscono alla nota diagnosi, segnatamente di miocardiopatia, fibrillazione atriale, terapia con anticoagulante, ipertensione arteriosa, lombalgie, non apportano alcun (nuovo) elemento medico oggettivo con riferimento ad eventuali limitazioni funzionali aventi un'incidenza determinante sulla capacità lavorativa dell'insorgente in un'attività sostitutiva leggera. Allorché i documenti più recenti esibiti, quelli del luglio 2008, di data posteriore alla decisione impugnata, fanno stato di disturbo d'ansia somatizzato con umore depresso e tratti fobici (doc. TAF 8), si riferiscono a fatti posteriori alla decisione impugnata che andranno esaminati nell'ambito di un'eventuale nuova domanda di rendita che il ricorrente potrà depositare. In siffatte circostanze, ben poteva l'autorità inferiore decidere il caso sulla base della documentazione medica agli atti, non risultando dalla documentazione sufficienti indizi che potessero giustificare dubbi od incertezze riguardo all'esito della causa.</w:t>
      </w:r>
    </w:p>
    <w:p>
      <w:r>
        <w:rPr>
          <w:b/>
        </w:rPr>
        <w:t>E. 10.5</w:t>
      </w:r>
    </w:p>
    <w:p>
      <w:r>
        <w:t>Non soccorre l'insorgente neppure il fatto che sia stato riconosciuto invalido ai sensi del diritto italiano (v. doc. 25, segnatamente la copia della relazione medico legale dell'INPS di F._______ del 27 marzo 2006). Giova in effetti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w:t>
      </w:r>
    </w:p>
    <w:p>
      <w:r>
        <w:rPr>
          <w:b/>
        </w:rPr>
        <w:t>E. 10.6</w:t>
      </w:r>
    </w:p>
    <w:p>
      <w:r>
        <w:t>Va infine ricordato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10.7</w:t>
      </w:r>
    </w:p>
    <w:p>
      <w:r>
        <w:t>Sulla scorta della documentazione medica e delle considerazioni che precedono, questo Tribunale ritiene che il ricorrente, da febbraio 2006, non avrebbe più potuto svolgere il lavoro di manovale edile nella misura indicata dalla dott.ssa C._______ nei suoi rapporti del 9 novembre 2007 e del 15 febbraio 2008 in quanto controindicato rispetto alle patologie descritte. A lui sarebbero comunque state proponibili al 100% a partire dal 1° marzo 2006 attività sostitutive, quali quelle operaio in fabbrica, sorvegliante di posteggio o museo, addetto a piccole consegne con veicolo, addetto alla riparazione di piccoli elettrodomestici, cassiere, venditore di biglietti, impiegato in un ufficio.</w:t>
      </w:r>
    </w:p>
    <w:p>
      <w:r>
        <w:rPr>
          <w:b/>
        </w:rPr>
        <w:t>E. 11</w:t>
      </w:r>
    </w:p>
    <w:p>
      <w:r>
        <w:t>Occorre pertanto determinare se le attività di sostituzione proposte dall'autorità inferiore siano ragionevolmente esigibili dall'assicurato tenuto conto di una situazione equilibrata del mercato del lavoro (art. 16 LPGA).</w:t>
      </w:r>
    </w:p>
    <w:p>
      <w:r>
        <w:rPr>
          <w:b/>
        </w:rPr>
        <w:t>E. 11.1</w:t>
      </w:r>
    </w:p>
    <w:p>
      <w:r>
        <w:t>Secondo la giurisprudenza del Tribunale federale, il concetto di mercato del lavoro equilibrato è una nozione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(v. sentenza del Tribunale federale I 871/02 del 20 aprile 2004; DTF 110 V 273 consid. 4b).</w:t>
      </w:r>
    </w:p>
    <w:p>
      <w:r>
        <w:rPr>
          <w:b/>
        </w:rPr>
        <w:t>E. 11.2</w:t>
      </w:r>
    </w:p>
    <w:p>
      <w:r>
        <w:t>Alfine di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Tribunale federale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Tuttavia, al riguardo non ci si deve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Tribunale federale I 61/05 del 27 luglio 2005 consid. 4.3 e relativi riferimenti).</w:t>
      </w:r>
    </w:p>
    <w:p>
      <w:r>
        <w:rPr>
          <w:b/>
        </w:rPr>
        <w:t>E. 11.3</w:t>
      </w:r>
    </w:p>
    <w:p>
      <w:r>
        <w:t>Fattori quali l'età, l'insufficiente formazione o le difficoltà linguistiche non possono venir ignorati nella determinazione, in un caso concreto, delle attività ragionevolmente esigibili dall'assicurato; gli stessi non costituiscono altresì delle circostanze supplementari suscettibili di influenzare il grado di invalidità, anche se talvolta rendono difficile, perfino impossibile, la ricerca di un impiego e quindi la messa a profitto della residua capacità lavorativa. Tuttavia,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(v. sentenze del Tribunale federale I 61/05 del 27 luglio 2005 consid. 4.4 e relativi riferimenti, I 819/04 del 27 maggio 2005 consid. 2.2).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11.4</w:t>
      </w:r>
    </w:p>
    <w:p>
      <w:r>
        <w:t>Quanto all'esigibilità e alla possibilità per l'insorgente di esercitare una nuova attività in un mercato equilibrato del lavoro, questo Tribunale osserva che il medesimo, nato il (...), aveva già 60 anni al momento in cui avrebbe potuto al più presto nascere - nel febbraio del 2007 (cf. doc. 44-3) - il diritto ad una rendita dell'assicurazione svizzera per l'invalidità, momento in cui è opportuno piazzarsi per determinare, in questo contesto, l'esigibilità di un cambiamento d'attività (v. sentenze del Tribunale federale 9C_612/2007 del 14 luglio 2008 consid. 5.2, I 761/04 del 17 agosto 2004 consid. 3.3.1 e I 462/02 del 26 maggio 2003 consid. 3.2). In considerazione dell'età del ricorrente è pertanto opportuno effettuare un esame globale ed approfondito della fattispecie secondo la menzionata giurisprudenza. A tale riguardo, giova rilevare che l'insorgente, nonostante le patologie di cui soffre secondo la diagnosi riportata al considerando 9.1 del presente giudizio, può svolgere - secondo l'opinione dei medici del SMR Rhône e dell'UAIE interpellati e che si sono fondati su documentazione sufficiente per potere fondare un giudizio convincente in merito - un'attività sostitutiva al 100% (v. in dettaglio sulle attività sostitutive adeguate alle condizioni del ricorrente il considerando 10.7 del presente giudizio). Ritenuto segnatamente il genere d'attività sostitutive in esame e la natura delle sue affezioni, un adattamento del posto di lavoro alle condizioni di salute del ricorrente non risulta altresì necessario rispettivamente è di semplice realizzazione. Questo Tribunale osserva pure che all'insorgente si presenta un ventaglio relativamente ampio di professioni possibili (e sufficientemente specificate) nei settori dell'industria e dei servizi, con mansioni semplici e ripetitive, che non richiedono necessariamente la messa in atto di particolari misure di reintegrazione professionale. Peraltro, l'interessato non ha fornito elementi precisi ed oggettivi suscettibili di giustificare l'inesigibilità delle attività sostitutive proposte dall'autorità inferiore. Infine, va rilevato che un eventuale rapporto di lavoro avrebbe potuto proseguire per quasi 5 anni (fino all'età di pensionamento secondo il diritto svizzero). Da quanto esposto, discende che si può ragionevolmente esigere dal ricorrente che abbia a mettere a profitto la sua residua capacità lavorativa in attività leggere adattate su un mercato del lavoro equilibrato.</w:t>
      </w:r>
    </w:p>
    <w:p>
      <w:r>
        <w:rPr>
          <w:b/>
        </w:rPr>
        <w:t>E. 12</w:t>
      </w:r>
    </w:p>
    <w:p>
      <w:r>
        <w:t>Infine, occorre esaminare la conformità del tasso d'invalidità calcolato dall'autorità inferiore.</w:t>
      </w:r>
    </w:p>
    <w:p>
      <w:r>
        <w:rPr>
          <w:b/>
        </w:rPr>
        <w:t>E. 12.1</w:t>
      </w:r>
    </w:p>
    <w:p>
      <w:r>
        <w:t>Questo Tribunale osserva, con riferimento al calcolo effettuato dall'autorità inferiore secondo le indicazioni del datore di lavoro e sulla base dei menzionati dati statistici del 2006 per la determinazione del tasso d'invalidità, che l'UAIE ha considerato quale reddito da valido quello conseguito dal ricorrente nel 2006 in Italia come muratore, ossia Euro 1'553.54 mensili, ed ha ritenuto quale reddito da invalido, quello ottenibile in attività di tipo leggero, ossia Euro 1'346.78 mensili, secondo le basi di calcolo di cui al documento n. 45, peraltro trasmesso all'insorgente mediante l'ordinanza di questo Tribunale del 17 giugno 2008 (doc. TAF 6), basi di calcolo rimaste incontestate e che questo Tribunale non ha motivo di modificare d'ufficio. Peraltro, il reddito da invalido può essere ulteriormente ridotto, al massimo del 25%, per tenere conto dei fattori professionali e personali del caso (DTF 126 V 75). L'UAIE ha operato una riduzione del 20%, la quale appare ammissibile. Ne risulta un reddito dopo l'insorgenza dell'invalidità di Euro 1'077.42. Dal confronto fra il reddito da valido di Euro 1'553.54 e quello da invalido di Euro 1'077.42 consegue la determinazione di un grado d'invalidità del 31% che esclude il riconoscimento del diritto ad una rendita dell'assicurazione svizzera per l'invalidità. Il calcolo della perdita di guadagno è stato indicato come segue: (1'553.54 - 1'077.42) x 100] : 1'553.54 = 30.65% (doc. 45). Peraltro, anche applicando la riduzione massima consentita del 25%, la differenza tra i redditi di riferimento non permette in alcun modo di raggiungere la percentuale minima del 40% necessaria per maturare il diritto ad una rendita.</w:t>
      </w:r>
    </w:p>
    <w:p>
      <w:r>
        <w:rPr>
          <w:b/>
        </w:rPr>
        <w:t>E. 12.2</w:t>
      </w:r>
    </w:p>
    <w:p>
      <w:r>
        <w:t>Per conseguenza, il ricorso, destituito di fondamento, non merita tutela e la decisione impugnata va confermata.</w:t>
      </w:r>
    </w:p>
    <w:p>
      <w:r>
        <w:rPr>
          <w:b/>
        </w:rPr>
        <w:t>E. 13.1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5 settembre 2008.</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